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5BEB" w14:textId="1A7CFCE3" w:rsidR="004E1F41" w:rsidRDefault="00E51891" w:rsidP="004E1F41">
      <w:pPr>
        <w:pStyle w:val="titre"/>
      </w:pPr>
      <w:r>
        <w:t>D’un cadre d’analyse de l’action instrumentée en géométrie à l’élaboration d’un dispositif de travail en dyade au cycle 3</w:t>
      </w:r>
    </w:p>
    <w:p w14:paraId="1367A125" w14:textId="4792CD61" w:rsidR="00E51891" w:rsidRDefault="000E4131" w:rsidP="00E51891">
      <w:pPr>
        <w:pStyle w:val="auteurs"/>
      </w:pPr>
      <w:r>
        <w:t>Edith PETITFOUR (</w:t>
      </w:r>
      <w:r w:rsidR="00E51891">
        <w:t>LDAR, ESPE Université de Rouen</w:t>
      </w:r>
      <w:r>
        <w:t>)</w:t>
      </w:r>
    </w:p>
    <w:p w14:paraId="64F5862F" w14:textId="2729F873" w:rsidR="00E51891" w:rsidRPr="00511031" w:rsidRDefault="000E4131" w:rsidP="00E51891">
      <w:pPr>
        <w:pStyle w:val="auteurs"/>
      </w:pPr>
      <w:r>
        <w:t>Thomas BARRIER (</w:t>
      </w:r>
      <w:r w:rsidR="00E51891">
        <w:t>LML, ESPE LNF Université d’Artois</w:t>
      </w:r>
      <w:r>
        <w:t>)</w:t>
      </w:r>
    </w:p>
    <w:p w14:paraId="3358B211" w14:textId="77777777" w:rsidR="00E51891" w:rsidRPr="00876066" w:rsidRDefault="00E51891" w:rsidP="00E51891">
      <w:pPr>
        <w:rPr>
          <w:color w:val="000000" w:themeColor="text1"/>
        </w:rPr>
      </w:pPr>
      <w:r w:rsidRPr="00876066">
        <w:rPr>
          <w:color w:val="000000" w:themeColor="text1"/>
        </w:rPr>
        <w:t>Ce TD s’appuie sur une recherche visant à mieux comprendre la nature des difficultés des élèves dyspraxiques en géométrie plane dans des tâches nécessitant l’utilisation d’instruments, matériels ou technologiques, afin d’envisager un moyen de les conduire à des apprentissages (Petitfour, 2015).</w:t>
      </w:r>
    </w:p>
    <w:p w14:paraId="6CB4005A" w14:textId="77777777" w:rsidR="00E51891" w:rsidRPr="00876066" w:rsidRDefault="00E51891" w:rsidP="00E51891">
      <w:pPr>
        <w:rPr>
          <w:color w:val="000000" w:themeColor="text1"/>
        </w:rPr>
      </w:pPr>
      <w:r w:rsidRPr="00876066">
        <w:rPr>
          <w:color w:val="000000" w:themeColor="text1"/>
        </w:rPr>
        <w:t xml:space="preserve">Dans une première séance, nous présenterons un cadre d’analyse de l’action instrumentée. Ce cadre, élaboré à partir d’approches des sciences cognitives – en ergonomie cognitive l’approche instrumentale de </w:t>
      </w:r>
      <w:proofErr w:type="spellStart"/>
      <w:r w:rsidRPr="00876066">
        <w:rPr>
          <w:color w:val="000000" w:themeColor="text1"/>
        </w:rPr>
        <w:t>Rabardel</w:t>
      </w:r>
      <w:proofErr w:type="spellEnd"/>
      <w:r w:rsidRPr="00876066">
        <w:rPr>
          <w:color w:val="000000" w:themeColor="text1"/>
        </w:rPr>
        <w:t xml:space="preserve"> (1995), en neuropsychologie le développement du geste de </w:t>
      </w:r>
      <w:proofErr w:type="spellStart"/>
      <w:r w:rsidRPr="00876066">
        <w:rPr>
          <w:color w:val="000000" w:themeColor="text1"/>
        </w:rPr>
        <w:t>Mazeau</w:t>
      </w:r>
      <w:proofErr w:type="spellEnd"/>
      <w:r w:rsidRPr="00876066">
        <w:rPr>
          <w:color w:val="000000" w:themeColor="text1"/>
        </w:rPr>
        <w:t xml:space="preserve"> et </w:t>
      </w:r>
      <w:proofErr w:type="spellStart"/>
      <w:r w:rsidRPr="00876066">
        <w:rPr>
          <w:color w:val="000000" w:themeColor="text1"/>
        </w:rPr>
        <w:t>Pouhet</w:t>
      </w:r>
      <w:proofErr w:type="spellEnd"/>
      <w:r w:rsidRPr="00876066">
        <w:rPr>
          <w:color w:val="000000" w:themeColor="text1"/>
        </w:rPr>
        <w:t xml:space="preserve"> (2014) et en psychologie cognitive l’appréhension des figures géométriques (Duval, 1994) ainsi que le concept de conceptualisation (</w:t>
      </w:r>
      <w:proofErr w:type="spellStart"/>
      <w:r w:rsidRPr="00876066">
        <w:rPr>
          <w:color w:val="000000" w:themeColor="text1"/>
        </w:rPr>
        <w:t>Vergnaud</w:t>
      </w:r>
      <w:proofErr w:type="spellEnd"/>
      <w:r w:rsidRPr="00876066">
        <w:rPr>
          <w:color w:val="000000" w:themeColor="text1"/>
        </w:rPr>
        <w:t>, 1991) – est complété par des outils d’analyse logique des concepts (</w:t>
      </w:r>
      <w:proofErr w:type="spellStart"/>
      <w:r w:rsidRPr="00876066">
        <w:rPr>
          <w:color w:val="000000" w:themeColor="text1"/>
        </w:rPr>
        <w:t>Barrier</w:t>
      </w:r>
      <w:proofErr w:type="spellEnd"/>
      <w:r w:rsidRPr="00876066">
        <w:rPr>
          <w:color w:val="000000" w:themeColor="text1"/>
        </w:rPr>
        <w:t xml:space="preserve">, </w:t>
      </w:r>
      <w:proofErr w:type="spellStart"/>
      <w:r w:rsidRPr="00876066">
        <w:rPr>
          <w:color w:val="000000" w:themeColor="text1"/>
        </w:rPr>
        <w:t>Chesnais</w:t>
      </w:r>
      <w:proofErr w:type="spellEnd"/>
      <w:r w:rsidRPr="00876066">
        <w:rPr>
          <w:color w:val="000000" w:themeColor="text1"/>
        </w:rPr>
        <w:t xml:space="preserve"> &amp; Hache, 2014). Nous proposerons une appropriation du cadre avec une analyse </w:t>
      </w:r>
      <w:r w:rsidRPr="00876066">
        <w:rPr>
          <w:i/>
          <w:color w:val="000000" w:themeColor="text1"/>
        </w:rPr>
        <w:t xml:space="preserve">a priori </w:t>
      </w:r>
      <w:r w:rsidRPr="00876066">
        <w:rPr>
          <w:color w:val="000000" w:themeColor="text1"/>
        </w:rPr>
        <w:t>d’une tâche de restauration de figures (Perrin-</w:t>
      </w:r>
      <w:proofErr w:type="spellStart"/>
      <w:r w:rsidRPr="00876066">
        <w:rPr>
          <w:color w:val="000000" w:themeColor="text1"/>
        </w:rPr>
        <w:t>Glorian</w:t>
      </w:r>
      <w:proofErr w:type="spellEnd"/>
      <w:r w:rsidRPr="00876066">
        <w:rPr>
          <w:color w:val="000000" w:themeColor="text1"/>
        </w:rPr>
        <w:t xml:space="preserve"> &amp; Godin, 2014</w:t>
      </w:r>
      <w:r>
        <w:rPr>
          <w:color w:val="000000" w:themeColor="text1"/>
        </w:rPr>
        <w:t>, 2017</w:t>
      </w:r>
      <w:r w:rsidRPr="00876066">
        <w:rPr>
          <w:color w:val="000000" w:themeColor="text1"/>
        </w:rPr>
        <w:t>).</w:t>
      </w:r>
    </w:p>
    <w:p w14:paraId="507E7627" w14:textId="77777777" w:rsidR="00E51891" w:rsidRPr="00876066" w:rsidRDefault="00E51891" w:rsidP="00E51891">
      <w:pPr>
        <w:rPr>
          <w:color w:val="000000" w:themeColor="text1"/>
        </w:rPr>
      </w:pPr>
      <w:r w:rsidRPr="00876066">
        <w:rPr>
          <w:color w:val="000000" w:themeColor="text1"/>
        </w:rPr>
        <w:t>Dans une deuxième séance, nous nous intéresserons aux interactions autour d’actions instrumentées dans le cadre de situations de communication orale. Nous nous situons en effet dans une perspective sémiotique et dans une conception de l’apprentissage dans laquelle la formation des concepts mathématiques peut se réaliser à travers des interactions sociales (</w:t>
      </w:r>
      <w:proofErr w:type="spellStart"/>
      <w:r w:rsidRPr="00876066">
        <w:rPr>
          <w:color w:val="000000" w:themeColor="text1"/>
        </w:rPr>
        <w:t>Radford</w:t>
      </w:r>
      <w:proofErr w:type="spellEnd"/>
      <w:r w:rsidRPr="00876066">
        <w:rPr>
          <w:color w:val="000000" w:themeColor="text1"/>
        </w:rPr>
        <w:t>, 2006). À partir d’une transcription d’un travail en dyade et à l’aide du cadre d’analyse de l’action instrumentée, nous analyserons l’activité des élèves avec comme observables leurs actions avec les instruments, les productions graphiques, le langage et les gestes produits dans les échanges. Nous chercherons à mettre en évidence les freins à une conceptualisation géométrique.</w:t>
      </w:r>
    </w:p>
    <w:p w14:paraId="4CE896BD" w14:textId="5436112B" w:rsidR="00511031" w:rsidRPr="00E51891" w:rsidRDefault="00E51891" w:rsidP="00511031">
      <w:pPr>
        <w:rPr>
          <w:color w:val="000000" w:themeColor="text1"/>
        </w:rPr>
      </w:pPr>
      <w:r w:rsidRPr="00876066">
        <w:rPr>
          <w:color w:val="000000" w:themeColor="text1"/>
        </w:rPr>
        <w:t>Dans une troisième séance, nous présenterons un dispositif de travail en dyade s’appuyant sur l’hypothèse de la pertinence</w:t>
      </w:r>
      <w:r w:rsidRPr="00876066">
        <w:rPr>
          <w:rFonts w:ascii="Times New Roman" w:hAnsi="Times New Roman"/>
          <w:color w:val="000000" w:themeColor="text1"/>
          <w:sz w:val="22"/>
          <w:szCs w:val="22"/>
        </w:rPr>
        <w:t xml:space="preserve"> </w:t>
      </w:r>
      <w:r w:rsidRPr="00876066">
        <w:rPr>
          <w:color w:val="000000" w:themeColor="text1"/>
        </w:rPr>
        <w:t>de l’introduction d’un langage technique géométrique dans l’enseignement, c’est-à-dire un langage qui permette de décrire les relations instruments-figures en lien avec les tracés, lorsque le langage géométrique n’est pas encore maîtrisé.</w:t>
      </w:r>
      <w:r>
        <w:rPr>
          <w:color w:val="000000" w:themeColor="text1"/>
        </w:rPr>
        <w:t xml:space="preserve"> </w:t>
      </w:r>
      <w:r w:rsidRPr="00876066">
        <w:rPr>
          <w:color w:val="000000" w:themeColor="text1"/>
        </w:rPr>
        <w:t>Nous analyserons la mise en œuvre d’un tel dispositif, en étudiant l’articulation du faisceau sémiotique gestes - langage (</w:t>
      </w:r>
      <w:proofErr w:type="spellStart"/>
      <w:r w:rsidRPr="00876066">
        <w:rPr>
          <w:color w:val="000000" w:themeColor="text1"/>
        </w:rPr>
        <w:t>Arzarello</w:t>
      </w:r>
      <w:proofErr w:type="spellEnd"/>
      <w:r w:rsidRPr="00876066">
        <w:rPr>
          <w:color w:val="000000" w:themeColor="text1"/>
        </w:rPr>
        <w:t>, 2006) avec l’action instrumentée et la production graphique qui en résulte.</w:t>
      </w:r>
    </w:p>
    <w:p w14:paraId="11EBB0A5" w14:textId="77777777" w:rsidR="004E1F41" w:rsidRDefault="004E1F41" w:rsidP="004E1F41">
      <w:pPr>
        <w:pStyle w:val="soustitres"/>
      </w:pPr>
      <w:r>
        <w:t>REFERENCES</w:t>
      </w:r>
    </w:p>
    <w:p w14:paraId="232FCFBA" w14:textId="7682C3B8" w:rsidR="00E51891" w:rsidRDefault="003E0805" w:rsidP="0080205C">
      <w:pPr>
        <w:pStyle w:val="Rfrences"/>
        <w:spacing w:before="0"/>
        <w:ind w:left="0" w:firstLine="0"/>
        <w:jc w:val="both"/>
        <w:rPr>
          <w:rFonts w:asciiTheme="minorHAnsi" w:hAnsiTheme="minorHAnsi"/>
          <w:sz w:val="24"/>
          <w:szCs w:val="24"/>
          <w:lang w:val="pt-BR"/>
        </w:rPr>
      </w:pPr>
      <w:proofErr w:type="spellStart"/>
      <w:r w:rsidRPr="003E0805">
        <w:rPr>
          <w:rFonts w:asciiTheme="minorHAnsi" w:hAnsiTheme="minorHAnsi"/>
          <w:smallCaps/>
          <w:sz w:val="24"/>
          <w:szCs w:val="24"/>
          <w:lang w:val="pt-BR"/>
        </w:rPr>
        <w:t>Arzarello</w:t>
      </w:r>
      <w:proofErr w:type="spellEnd"/>
      <w:r w:rsidR="00E51891" w:rsidRPr="00E51891">
        <w:rPr>
          <w:rFonts w:asciiTheme="minorHAnsi" w:hAnsiTheme="minorHAnsi"/>
          <w:sz w:val="24"/>
          <w:szCs w:val="24"/>
          <w:lang w:val="pt-BR"/>
        </w:rPr>
        <w:t xml:space="preserve"> F. (2006)</w:t>
      </w:r>
      <w:r w:rsidR="00E51891">
        <w:rPr>
          <w:rFonts w:asciiTheme="minorHAnsi" w:hAnsiTheme="minorHAnsi"/>
          <w:sz w:val="24"/>
          <w:szCs w:val="24"/>
          <w:lang w:val="pt-BR"/>
        </w:rPr>
        <w:t>.</w:t>
      </w:r>
      <w:r w:rsidR="00E51891" w:rsidRPr="00E51891">
        <w:rPr>
          <w:rFonts w:asciiTheme="minorHAnsi" w:hAnsiTheme="minorHAnsi"/>
          <w:sz w:val="24"/>
          <w:szCs w:val="24"/>
          <w:lang w:val="pt-BR"/>
        </w:rPr>
        <w:t xml:space="preserve"> </w:t>
      </w:r>
      <w:proofErr w:type="spellStart"/>
      <w:r w:rsidR="00E51891" w:rsidRPr="00E51891">
        <w:rPr>
          <w:rFonts w:asciiTheme="minorHAnsi" w:hAnsiTheme="minorHAnsi"/>
          <w:sz w:val="24"/>
          <w:szCs w:val="24"/>
          <w:lang w:val="pt-BR"/>
        </w:rPr>
        <w:t>Semiosis</w:t>
      </w:r>
      <w:proofErr w:type="spellEnd"/>
      <w:r w:rsidR="00E51891" w:rsidRPr="00E51891">
        <w:rPr>
          <w:rFonts w:asciiTheme="minorHAnsi" w:hAnsiTheme="minorHAnsi"/>
          <w:sz w:val="24"/>
          <w:szCs w:val="24"/>
          <w:lang w:val="pt-BR"/>
        </w:rPr>
        <w:t xml:space="preserve"> as a multimodal </w:t>
      </w:r>
      <w:proofErr w:type="spellStart"/>
      <w:r w:rsidR="00E51891" w:rsidRPr="00E51891">
        <w:rPr>
          <w:rFonts w:asciiTheme="minorHAnsi" w:hAnsiTheme="minorHAnsi"/>
          <w:sz w:val="24"/>
          <w:szCs w:val="24"/>
          <w:lang w:val="pt-BR"/>
        </w:rPr>
        <w:t>process</w:t>
      </w:r>
      <w:proofErr w:type="spellEnd"/>
      <w:r w:rsidR="00E51891" w:rsidRPr="00E51891">
        <w:rPr>
          <w:rFonts w:asciiTheme="minorHAnsi" w:hAnsiTheme="minorHAnsi"/>
          <w:sz w:val="24"/>
          <w:szCs w:val="24"/>
          <w:lang w:val="pt-BR"/>
        </w:rPr>
        <w:t xml:space="preserve">, </w:t>
      </w:r>
      <w:r w:rsidR="00E51891" w:rsidRPr="00E51891">
        <w:rPr>
          <w:rFonts w:asciiTheme="minorHAnsi" w:hAnsiTheme="minorHAnsi"/>
          <w:i/>
          <w:sz w:val="24"/>
          <w:szCs w:val="24"/>
          <w:lang w:val="pt-BR"/>
        </w:rPr>
        <w:t>Relime,</w:t>
      </w:r>
      <w:r w:rsidR="00E51891" w:rsidRPr="00E51891">
        <w:rPr>
          <w:rFonts w:asciiTheme="minorHAnsi" w:hAnsiTheme="minorHAnsi"/>
          <w:sz w:val="24"/>
          <w:szCs w:val="24"/>
          <w:lang w:val="pt-BR"/>
        </w:rPr>
        <w:t xml:space="preserve"> </w:t>
      </w:r>
      <w:r w:rsidR="00E51891" w:rsidRPr="00E51891">
        <w:rPr>
          <w:rFonts w:asciiTheme="minorHAnsi" w:hAnsiTheme="minorHAnsi"/>
          <w:b/>
          <w:sz w:val="24"/>
          <w:szCs w:val="24"/>
          <w:lang w:val="pt-BR"/>
        </w:rPr>
        <w:t>9</w:t>
      </w:r>
      <w:r w:rsidR="00E51891" w:rsidRPr="00E51891">
        <w:rPr>
          <w:rFonts w:asciiTheme="minorHAnsi" w:hAnsiTheme="minorHAnsi"/>
          <w:sz w:val="24"/>
          <w:szCs w:val="24"/>
          <w:lang w:val="pt-BR"/>
        </w:rPr>
        <w:t xml:space="preserve">, </w:t>
      </w:r>
      <w:proofErr w:type="spellStart"/>
      <w:r w:rsidR="00E51891" w:rsidRPr="00E51891">
        <w:rPr>
          <w:rFonts w:asciiTheme="minorHAnsi" w:hAnsiTheme="minorHAnsi"/>
          <w:sz w:val="24"/>
          <w:szCs w:val="24"/>
          <w:lang w:val="pt-BR"/>
        </w:rPr>
        <w:t>extraordinario</w:t>
      </w:r>
      <w:proofErr w:type="spellEnd"/>
      <w:r w:rsidR="00E51891" w:rsidRPr="00E51891">
        <w:rPr>
          <w:rFonts w:asciiTheme="minorHAnsi" w:hAnsiTheme="minorHAnsi"/>
          <w:sz w:val="24"/>
          <w:szCs w:val="24"/>
          <w:lang w:val="pt-BR"/>
        </w:rPr>
        <w:t> 1, 267-299.</w:t>
      </w:r>
    </w:p>
    <w:p w14:paraId="78A2876C" w14:textId="6F8E7E51" w:rsidR="00E51891" w:rsidRPr="00E51891" w:rsidRDefault="003E0805" w:rsidP="0080205C">
      <w:pPr>
        <w:pStyle w:val="Rfrences"/>
        <w:spacing w:before="0"/>
        <w:ind w:left="0" w:firstLine="0"/>
        <w:jc w:val="both"/>
        <w:rPr>
          <w:rStyle w:val="biblionom"/>
          <w:rFonts w:asciiTheme="minorHAnsi" w:hAnsiTheme="minorHAnsi" w:cs="ı'1BËï'1"/>
          <w:i/>
          <w:smallCaps w:val="0"/>
          <w:sz w:val="24"/>
          <w:szCs w:val="24"/>
          <w:shd w:val="clear" w:color="auto" w:fill="FFFFFF" w:themeFill="background1"/>
        </w:rPr>
      </w:pPr>
      <w:proofErr w:type="spellStart"/>
      <w:r w:rsidRPr="003E0805">
        <w:rPr>
          <w:rFonts w:asciiTheme="minorHAnsi" w:hAnsiTheme="minorHAnsi" w:cs="ı'1BËï'1"/>
          <w:smallCaps/>
          <w:sz w:val="24"/>
          <w:szCs w:val="24"/>
          <w:shd w:val="clear" w:color="auto" w:fill="FFFFFF" w:themeFill="background1"/>
        </w:rPr>
        <w:t>Barrier</w:t>
      </w:r>
      <w:proofErr w:type="spellEnd"/>
      <w:r w:rsidR="000E4131" w:rsidRPr="003E0805">
        <w:rPr>
          <w:rFonts w:asciiTheme="minorHAnsi" w:hAnsiTheme="minorHAnsi" w:cs="ı'1BËï'1"/>
          <w:smallCaps/>
          <w:sz w:val="24"/>
          <w:szCs w:val="24"/>
          <w:shd w:val="clear" w:color="auto" w:fill="FFFFFF" w:themeFill="background1"/>
        </w:rPr>
        <w:t xml:space="preserve"> T., </w:t>
      </w:r>
      <w:proofErr w:type="spellStart"/>
      <w:r w:rsidRPr="003E0805">
        <w:rPr>
          <w:rFonts w:asciiTheme="minorHAnsi" w:hAnsiTheme="minorHAnsi" w:cs="ı'1BËï'1"/>
          <w:smallCaps/>
          <w:sz w:val="24"/>
          <w:szCs w:val="24"/>
          <w:shd w:val="clear" w:color="auto" w:fill="FFFFFF" w:themeFill="background1"/>
        </w:rPr>
        <w:t>Chesnais</w:t>
      </w:r>
      <w:proofErr w:type="spellEnd"/>
      <w:r w:rsidR="000E4131" w:rsidRPr="003E0805">
        <w:rPr>
          <w:rFonts w:asciiTheme="minorHAnsi" w:hAnsiTheme="minorHAnsi" w:cs="ı'1BËï'1"/>
          <w:smallCaps/>
          <w:sz w:val="24"/>
          <w:szCs w:val="24"/>
          <w:shd w:val="clear" w:color="auto" w:fill="FFFFFF" w:themeFill="background1"/>
        </w:rPr>
        <w:t xml:space="preserve"> A. &amp; </w:t>
      </w:r>
      <w:r w:rsidRPr="003E0805">
        <w:rPr>
          <w:rFonts w:asciiTheme="minorHAnsi" w:hAnsiTheme="minorHAnsi" w:cs="ı'1BËï'1"/>
          <w:smallCaps/>
          <w:sz w:val="24"/>
          <w:szCs w:val="24"/>
          <w:shd w:val="clear" w:color="auto" w:fill="FFFFFF" w:themeFill="background1"/>
        </w:rPr>
        <w:t>Hache</w:t>
      </w:r>
      <w:r w:rsidR="00E51891" w:rsidRPr="003E0805">
        <w:rPr>
          <w:rFonts w:asciiTheme="minorHAnsi" w:hAnsiTheme="minorHAnsi" w:cs="ı'1BËï'1"/>
          <w:smallCaps/>
          <w:sz w:val="24"/>
          <w:szCs w:val="24"/>
          <w:shd w:val="clear" w:color="auto" w:fill="FFFFFF" w:themeFill="background1"/>
        </w:rPr>
        <w:t xml:space="preserve"> C.</w:t>
      </w:r>
      <w:r w:rsidR="00E51891" w:rsidRPr="00E51891">
        <w:rPr>
          <w:rFonts w:asciiTheme="minorHAnsi" w:hAnsiTheme="minorHAnsi" w:cs="ı'1BËï'1"/>
          <w:sz w:val="24"/>
          <w:szCs w:val="24"/>
          <w:shd w:val="clear" w:color="auto" w:fill="FFFFFF" w:themeFill="background1"/>
        </w:rPr>
        <w:t xml:space="preserve"> (2014)</w:t>
      </w:r>
      <w:r w:rsidR="00E51891">
        <w:rPr>
          <w:rFonts w:asciiTheme="minorHAnsi" w:hAnsiTheme="minorHAnsi" w:cs="ı'1BËï'1"/>
          <w:sz w:val="24"/>
          <w:szCs w:val="24"/>
          <w:shd w:val="clear" w:color="auto" w:fill="FFFFFF" w:themeFill="background1"/>
        </w:rPr>
        <w:t>.</w:t>
      </w:r>
      <w:r w:rsidR="00E51891" w:rsidRPr="00E51891">
        <w:rPr>
          <w:rFonts w:asciiTheme="minorHAnsi" w:hAnsiTheme="minorHAnsi" w:cs="ı'1BËï'1"/>
          <w:sz w:val="24"/>
          <w:szCs w:val="24"/>
          <w:shd w:val="clear" w:color="auto" w:fill="FFFFFF" w:themeFill="background1"/>
        </w:rPr>
        <w:t xml:space="preserve"> Décrire les activités des élèves en géométrie et leur articulation avec celle de l'enseignant, </w:t>
      </w:r>
      <w:r w:rsidR="00E51891" w:rsidRPr="00E51891">
        <w:rPr>
          <w:rFonts w:asciiTheme="minorHAnsi" w:hAnsiTheme="minorHAnsi" w:cs="ı'1BËï'1"/>
          <w:i/>
          <w:sz w:val="24"/>
          <w:szCs w:val="24"/>
          <w:shd w:val="clear" w:color="auto" w:fill="FFFFFF" w:themeFill="background1"/>
        </w:rPr>
        <w:t xml:space="preserve">Spirale – revue de recherche en </w:t>
      </w:r>
      <w:proofErr w:type="spellStart"/>
      <w:r w:rsidR="00E51891" w:rsidRPr="00E51891">
        <w:rPr>
          <w:rFonts w:asciiTheme="minorHAnsi" w:hAnsiTheme="minorHAnsi" w:cs="ı'1BËï'1"/>
          <w:i/>
          <w:sz w:val="24"/>
          <w:szCs w:val="24"/>
          <w:shd w:val="clear" w:color="auto" w:fill="FFFFFF" w:themeFill="background1"/>
        </w:rPr>
        <w:t>éduaction</w:t>
      </w:r>
      <w:proofErr w:type="spellEnd"/>
      <w:r w:rsidR="00E51891" w:rsidRPr="00E51891">
        <w:rPr>
          <w:rFonts w:asciiTheme="minorHAnsi" w:hAnsiTheme="minorHAnsi" w:cs="ı'1BËï'1"/>
          <w:i/>
          <w:sz w:val="24"/>
          <w:szCs w:val="24"/>
          <w:shd w:val="clear" w:color="auto" w:fill="FFFFFF" w:themeFill="background1"/>
        </w:rPr>
        <w:t>, 54, 175-193.</w:t>
      </w:r>
    </w:p>
    <w:p w14:paraId="0E3243F5" w14:textId="38A01563" w:rsidR="00E51891" w:rsidRPr="00E51891" w:rsidRDefault="003E0805" w:rsidP="0080205C">
      <w:pPr>
        <w:pStyle w:val="bibliotexte"/>
        <w:spacing w:line="240" w:lineRule="auto"/>
        <w:rPr>
          <w:rFonts w:asciiTheme="minorHAnsi" w:hAnsiTheme="minorHAnsi"/>
          <w:sz w:val="24"/>
        </w:rPr>
      </w:pPr>
      <w:r w:rsidRPr="003E0805">
        <w:rPr>
          <w:rFonts w:asciiTheme="minorHAnsi" w:hAnsiTheme="minorHAnsi"/>
          <w:smallCaps/>
          <w:sz w:val="24"/>
        </w:rPr>
        <w:t>Duval</w:t>
      </w:r>
      <w:r w:rsidR="00E51891" w:rsidRPr="00E51891">
        <w:rPr>
          <w:rFonts w:asciiTheme="minorHAnsi" w:hAnsiTheme="minorHAnsi"/>
          <w:sz w:val="24"/>
        </w:rPr>
        <w:t xml:space="preserve"> R. (1994)</w:t>
      </w:r>
      <w:r w:rsidR="00E51891">
        <w:rPr>
          <w:rFonts w:asciiTheme="minorHAnsi" w:hAnsiTheme="minorHAnsi"/>
          <w:sz w:val="24"/>
        </w:rPr>
        <w:t>.</w:t>
      </w:r>
      <w:r w:rsidR="00E51891" w:rsidRPr="00E51891">
        <w:rPr>
          <w:rFonts w:asciiTheme="minorHAnsi" w:hAnsiTheme="minorHAnsi"/>
          <w:sz w:val="24"/>
        </w:rPr>
        <w:t xml:space="preserve"> </w:t>
      </w:r>
      <w:r w:rsidR="00E51891" w:rsidRPr="00E51891">
        <w:rPr>
          <w:rFonts w:asciiTheme="minorHAnsi" w:hAnsiTheme="minorHAnsi"/>
          <w:iCs/>
          <w:sz w:val="24"/>
        </w:rPr>
        <w:t>Les différents fonctionnements d’une figure dans une démarche géométrique</w:t>
      </w:r>
      <w:r w:rsidR="00E51891" w:rsidRPr="00E51891">
        <w:rPr>
          <w:rFonts w:asciiTheme="minorHAnsi" w:hAnsiTheme="minorHAnsi"/>
          <w:i/>
          <w:iCs/>
          <w:sz w:val="24"/>
        </w:rPr>
        <w:t>,</w:t>
      </w:r>
      <w:r w:rsidR="00E51891" w:rsidRPr="00E51891">
        <w:rPr>
          <w:rFonts w:asciiTheme="minorHAnsi" w:hAnsiTheme="minorHAnsi"/>
          <w:sz w:val="24"/>
        </w:rPr>
        <w:t xml:space="preserve"> </w:t>
      </w:r>
      <w:r w:rsidR="00E51891" w:rsidRPr="00E51891">
        <w:rPr>
          <w:rFonts w:asciiTheme="minorHAnsi" w:hAnsiTheme="minorHAnsi"/>
          <w:i/>
          <w:sz w:val="24"/>
        </w:rPr>
        <w:t>Repères-IREM</w:t>
      </w:r>
      <w:r w:rsidR="00E51891" w:rsidRPr="00E51891">
        <w:rPr>
          <w:rFonts w:asciiTheme="minorHAnsi" w:hAnsiTheme="minorHAnsi"/>
          <w:sz w:val="24"/>
        </w:rPr>
        <w:t>, 17, 121-138.</w:t>
      </w:r>
    </w:p>
    <w:p w14:paraId="3965BC16" w14:textId="1DBE3730" w:rsidR="00E51891" w:rsidRPr="00E51891" w:rsidRDefault="003E0805" w:rsidP="0080205C">
      <w:pPr>
        <w:pStyle w:val="Rfrences"/>
        <w:spacing w:before="0"/>
        <w:ind w:left="0" w:firstLine="0"/>
        <w:jc w:val="both"/>
        <w:rPr>
          <w:rFonts w:asciiTheme="minorHAnsi" w:hAnsiTheme="minorHAnsi"/>
          <w:sz w:val="24"/>
          <w:szCs w:val="24"/>
        </w:rPr>
      </w:pPr>
      <w:proofErr w:type="spellStart"/>
      <w:proofErr w:type="gramStart"/>
      <w:r w:rsidRPr="003E0805">
        <w:rPr>
          <w:rFonts w:asciiTheme="minorHAnsi" w:hAnsiTheme="minorHAnsi" w:cs="ı'1BËï'1"/>
          <w:smallCaps/>
          <w:sz w:val="24"/>
          <w:szCs w:val="24"/>
          <w:lang w:val="en-GB"/>
        </w:rPr>
        <w:t>Mazeau</w:t>
      </w:r>
      <w:proofErr w:type="spellEnd"/>
      <w:r w:rsidR="000E4131" w:rsidRPr="003E0805">
        <w:rPr>
          <w:rFonts w:asciiTheme="minorHAnsi" w:hAnsiTheme="minorHAnsi" w:cs="ı'1BËï'1"/>
          <w:smallCaps/>
          <w:sz w:val="24"/>
          <w:szCs w:val="24"/>
          <w:lang w:val="en-GB"/>
        </w:rPr>
        <w:t xml:space="preserve"> M. &amp;</w:t>
      </w:r>
      <w:r w:rsidRPr="003E0805">
        <w:rPr>
          <w:rFonts w:asciiTheme="minorHAnsi" w:hAnsiTheme="minorHAnsi" w:cs="ı'1BËï'1"/>
          <w:smallCaps/>
          <w:sz w:val="24"/>
          <w:szCs w:val="24"/>
          <w:lang w:val="en-GB"/>
        </w:rPr>
        <w:t xml:space="preserve"> </w:t>
      </w:r>
      <w:proofErr w:type="spellStart"/>
      <w:r w:rsidRPr="003E0805">
        <w:rPr>
          <w:rFonts w:asciiTheme="minorHAnsi" w:hAnsiTheme="minorHAnsi" w:cs="ı'1BËï'1"/>
          <w:smallCaps/>
          <w:sz w:val="24"/>
          <w:szCs w:val="24"/>
          <w:lang w:val="en-GB"/>
        </w:rPr>
        <w:t>Pouhet</w:t>
      </w:r>
      <w:proofErr w:type="spellEnd"/>
      <w:r w:rsidR="00E51891" w:rsidRPr="003E0805">
        <w:rPr>
          <w:rFonts w:asciiTheme="minorHAnsi" w:hAnsiTheme="minorHAnsi" w:cs="ı'1BËï'1"/>
          <w:smallCaps/>
          <w:sz w:val="24"/>
          <w:szCs w:val="24"/>
          <w:lang w:val="en-GB"/>
        </w:rPr>
        <w:t xml:space="preserve"> A.</w:t>
      </w:r>
      <w:r w:rsidR="00E51891" w:rsidRPr="003E0805">
        <w:rPr>
          <w:rFonts w:asciiTheme="minorHAnsi" w:hAnsiTheme="minorHAnsi"/>
          <w:smallCaps/>
          <w:sz w:val="24"/>
          <w:szCs w:val="24"/>
        </w:rPr>
        <w:t xml:space="preserve"> </w:t>
      </w:r>
      <w:r w:rsidR="00E51891" w:rsidRPr="00E51891">
        <w:rPr>
          <w:rFonts w:asciiTheme="minorHAnsi" w:hAnsiTheme="minorHAnsi"/>
          <w:sz w:val="24"/>
          <w:szCs w:val="24"/>
        </w:rPr>
        <w:t>(2014)</w:t>
      </w:r>
      <w:r w:rsidR="00E51891">
        <w:rPr>
          <w:rFonts w:asciiTheme="minorHAnsi" w:hAnsiTheme="minorHAnsi"/>
          <w:sz w:val="24"/>
          <w:szCs w:val="24"/>
        </w:rPr>
        <w:t>.</w:t>
      </w:r>
      <w:proofErr w:type="gramEnd"/>
      <w:r w:rsidR="00E51891" w:rsidRPr="00E51891">
        <w:rPr>
          <w:rFonts w:asciiTheme="minorHAnsi" w:hAnsiTheme="minorHAnsi"/>
          <w:sz w:val="24"/>
          <w:szCs w:val="24"/>
        </w:rPr>
        <w:t xml:space="preserve"> </w:t>
      </w:r>
      <w:r w:rsidR="00E51891" w:rsidRPr="00E51891">
        <w:rPr>
          <w:rFonts w:asciiTheme="minorHAnsi" w:hAnsiTheme="minorHAnsi"/>
          <w:i/>
          <w:sz w:val="24"/>
          <w:szCs w:val="24"/>
        </w:rPr>
        <w:t>Neuropsychologie et troubles des apprentissages chez l’enfant. Du développement typique aux « </w:t>
      </w:r>
      <w:proofErr w:type="spellStart"/>
      <w:r w:rsidR="00E51891" w:rsidRPr="00E51891">
        <w:rPr>
          <w:rFonts w:asciiTheme="minorHAnsi" w:hAnsiTheme="minorHAnsi"/>
          <w:i/>
          <w:sz w:val="24"/>
          <w:szCs w:val="24"/>
        </w:rPr>
        <w:t>dys</w:t>
      </w:r>
      <w:proofErr w:type="spellEnd"/>
      <w:r w:rsidR="00E51891" w:rsidRPr="00E51891">
        <w:rPr>
          <w:rFonts w:asciiTheme="minorHAnsi" w:hAnsiTheme="minorHAnsi"/>
          <w:i/>
          <w:sz w:val="24"/>
          <w:szCs w:val="24"/>
        </w:rPr>
        <w:t>-».</w:t>
      </w:r>
      <w:r w:rsidR="00E51891" w:rsidRPr="00E51891">
        <w:rPr>
          <w:rFonts w:asciiTheme="minorHAnsi" w:hAnsiTheme="minorHAnsi"/>
          <w:sz w:val="24"/>
          <w:szCs w:val="24"/>
        </w:rPr>
        <w:t xml:space="preserve"> 2</w:t>
      </w:r>
      <w:r w:rsidR="00E51891" w:rsidRPr="00E51891">
        <w:rPr>
          <w:rFonts w:asciiTheme="minorHAnsi" w:hAnsiTheme="minorHAnsi"/>
          <w:sz w:val="24"/>
          <w:szCs w:val="24"/>
          <w:vertAlign w:val="superscript"/>
        </w:rPr>
        <w:t>ème</w:t>
      </w:r>
      <w:r w:rsidR="00E51891" w:rsidRPr="00E51891">
        <w:rPr>
          <w:rFonts w:asciiTheme="minorHAnsi" w:hAnsiTheme="minorHAnsi"/>
          <w:sz w:val="24"/>
          <w:szCs w:val="24"/>
        </w:rPr>
        <w:t xml:space="preserve"> édition. Elsevier Masson.</w:t>
      </w:r>
    </w:p>
    <w:p w14:paraId="0EED66AC" w14:textId="7F9F2715" w:rsidR="00E51891" w:rsidRPr="00E51891" w:rsidRDefault="0080205C" w:rsidP="0080205C">
      <w:pPr>
        <w:pStyle w:val="Rfrences"/>
        <w:spacing w:before="0"/>
        <w:ind w:left="0" w:firstLine="0"/>
        <w:jc w:val="both"/>
        <w:rPr>
          <w:rFonts w:asciiTheme="minorHAnsi" w:hAnsiTheme="minorHAnsi"/>
          <w:sz w:val="24"/>
          <w:szCs w:val="24"/>
        </w:rPr>
      </w:pPr>
      <w:r>
        <w:rPr>
          <w:rFonts w:asciiTheme="minorHAnsi" w:hAnsiTheme="minorHAnsi"/>
          <w:smallCaps/>
          <w:sz w:val="24"/>
          <w:szCs w:val="24"/>
        </w:rPr>
        <w:t>Perrin-</w:t>
      </w:r>
      <w:proofErr w:type="spellStart"/>
      <w:r>
        <w:rPr>
          <w:rFonts w:asciiTheme="minorHAnsi" w:hAnsiTheme="minorHAnsi"/>
          <w:smallCaps/>
          <w:sz w:val="24"/>
          <w:szCs w:val="24"/>
        </w:rPr>
        <w:t>Glorian</w:t>
      </w:r>
      <w:proofErr w:type="spellEnd"/>
      <w:r>
        <w:rPr>
          <w:rFonts w:asciiTheme="minorHAnsi" w:hAnsiTheme="minorHAnsi"/>
          <w:smallCaps/>
          <w:sz w:val="24"/>
          <w:szCs w:val="24"/>
        </w:rPr>
        <w:t>, M.-J. &amp;</w:t>
      </w:r>
      <w:r w:rsidR="003E0805" w:rsidRPr="003E0805">
        <w:rPr>
          <w:rFonts w:asciiTheme="minorHAnsi" w:hAnsiTheme="minorHAnsi"/>
          <w:smallCaps/>
          <w:sz w:val="24"/>
          <w:szCs w:val="24"/>
        </w:rPr>
        <w:t xml:space="preserve"> Godin, M.</w:t>
      </w:r>
      <w:r w:rsidR="003E0805" w:rsidRPr="00E51891">
        <w:rPr>
          <w:rFonts w:asciiTheme="minorHAnsi" w:hAnsiTheme="minorHAnsi"/>
          <w:sz w:val="24"/>
          <w:szCs w:val="24"/>
        </w:rPr>
        <w:t xml:space="preserve"> </w:t>
      </w:r>
      <w:r w:rsidR="00E51891" w:rsidRPr="00E51891">
        <w:rPr>
          <w:rFonts w:asciiTheme="minorHAnsi" w:hAnsiTheme="minorHAnsi"/>
          <w:sz w:val="24"/>
          <w:szCs w:val="24"/>
        </w:rPr>
        <w:t>(2014)</w:t>
      </w:r>
      <w:r w:rsidR="00E51891">
        <w:rPr>
          <w:rFonts w:asciiTheme="minorHAnsi" w:hAnsiTheme="minorHAnsi"/>
          <w:sz w:val="24"/>
          <w:szCs w:val="24"/>
        </w:rPr>
        <w:t>.</w:t>
      </w:r>
      <w:r w:rsidR="00E51891" w:rsidRPr="00E51891">
        <w:rPr>
          <w:rFonts w:asciiTheme="minorHAnsi" w:hAnsiTheme="minorHAnsi"/>
          <w:sz w:val="24"/>
          <w:szCs w:val="24"/>
        </w:rPr>
        <w:t xml:space="preserve"> De la reproduction de figures géométriques </w:t>
      </w:r>
      <w:r w:rsidR="00E51891" w:rsidRPr="00E51891">
        <w:rPr>
          <w:rFonts w:asciiTheme="minorHAnsi" w:hAnsiTheme="minorHAnsi"/>
          <w:sz w:val="24"/>
          <w:szCs w:val="24"/>
        </w:rPr>
        <w:lastRenderedPageBreak/>
        <w:t xml:space="preserve">avec des instruments vers leur caractérisation par des énoncés. </w:t>
      </w:r>
      <w:r w:rsidR="00E51891" w:rsidRPr="00E51891">
        <w:rPr>
          <w:rFonts w:asciiTheme="minorHAnsi" w:hAnsiTheme="minorHAnsi"/>
          <w:i/>
          <w:sz w:val="24"/>
          <w:szCs w:val="24"/>
        </w:rPr>
        <w:t>Math-école</w:t>
      </w:r>
      <w:r w:rsidR="00E51891" w:rsidRPr="00E51891">
        <w:rPr>
          <w:rFonts w:asciiTheme="minorHAnsi" w:hAnsiTheme="minorHAnsi"/>
          <w:sz w:val="24"/>
          <w:szCs w:val="24"/>
        </w:rPr>
        <w:t xml:space="preserve">, </w:t>
      </w:r>
      <w:r w:rsidR="00E51891" w:rsidRPr="00E51891">
        <w:rPr>
          <w:rFonts w:asciiTheme="minorHAnsi" w:hAnsiTheme="minorHAnsi"/>
          <w:b/>
          <w:sz w:val="24"/>
          <w:szCs w:val="24"/>
        </w:rPr>
        <w:t>222</w:t>
      </w:r>
      <w:r w:rsidR="00E51891" w:rsidRPr="00E51891">
        <w:rPr>
          <w:rFonts w:asciiTheme="minorHAnsi" w:hAnsiTheme="minorHAnsi"/>
          <w:sz w:val="24"/>
          <w:szCs w:val="24"/>
        </w:rPr>
        <w:t>, 26-36.</w:t>
      </w:r>
    </w:p>
    <w:p w14:paraId="433C8C67" w14:textId="21181AD6" w:rsidR="00E51891" w:rsidRPr="00E51891" w:rsidRDefault="003E0805" w:rsidP="0080205C">
      <w:pPr>
        <w:pStyle w:val="Rfrences"/>
        <w:spacing w:before="0"/>
        <w:ind w:left="0" w:firstLine="0"/>
        <w:jc w:val="both"/>
        <w:rPr>
          <w:rFonts w:asciiTheme="minorHAnsi" w:hAnsiTheme="minorHAnsi"/>
          <w:sz w:val="24"/>
          <w:szCs w:val="24"/>
        </w:rPr>
      </w:pPr>
      <w:r w:rsidRPr="003E0805">
        <w:rPr>
          <w:rFonts w:asciiTheme="minorHAnsi" w:hAnsiTheme="minorHAnsi"/>
          <w:smallCaps/>
          <w:sz w:val="24"/>
          <w:szCs w:val="24"/>
        </w:rPr>
        <w:t>Perrin</w:t>
      </w:r>
      <w:r w:rsidR="00E51891" w:rsidRPr="003E0805">
        <w:rPr>
          <w:rFonts w:asciiTheme="minorHAnsi" w:hAnsiTheme="minorHAnsi"/>
          <w:smallCaps/>
          <w:sz w:val="24"/>
          <w:szCs w:val="24"/>
        </w:rPr>
        <w:t>-</w:t>
      </w:r>
      <w:proofErr w:type="spellStart"/>
      <w:r w:rsidR="00E51891" w:rsidRPr="003E0805">
        <w:rPr>
          <w:rFonts w:asciiTheme="minorHAnsi" w:hAnsiTheme="minorHAnsi"/>
          <w:smallCaps/>
          <w:sz w:val="24"/>
          <w:szCs w:val="24"/>
        </w:rPr>
        <w:t>G</w:t>
      </w:r>
      <w:r w:rsidR="0080205C">
        <w:rPr>
          <w:rFonts w:asciiTheme="minorHAnsi" w:hAnsiTheme="minorHAnsi"/>
          <w:smallCaps/>
          <w:sz w:val="24"/>
          <w:szCs w:val="24"/>
        </w:rPr>
        <w:t>lorian</w:t>
      </w:r>
      <w:proofErr w:type="spellEnd"/>
      <w:r w:rsidR="0080205C">
        <w:rPr>
          <w:rFonts w:asciiTheme="minorHAnsi" w:hAnsiTheme="minorHAnsi"/>
          <w:smallCaps/>
          <w:sz w:val="24"/>
          <w:szCs w:val="24"/>
        </w:rPr>
        <w:t>, M.-J. &amp;</w:t>
      </w:r>
      <w:bookmarkStart w:id="0" w:name="_GoBack"/>
      <w:bookmarkEnd w:id="0"/>
      <w:r w:rsidR="00E51891" w:rsidRPr="003E0805">
        <w:rPr>
          <w:rFonts w:asciiTheme="minorHAnsi" w:hAnsiTheme="minorHAnsi"/>
          <w:smallCaps/>
          <w:sz w:val="24"/>
          <w:szCs w:val="24"/>
        </w:rPr>
        <w:t xml:space="preserve"> </w:t>
      </w:r>
      <w:r w:rsidRPr="003E0805">
        <w:rPr>
          <w:rFonts w:asciiTheme="minorHAnsi" w:hAnsiTheme="minorHAnsi"/>
          <w:smallCaps/>
          <w:sz w:val="24"/>
          <w:szCs w:val="24"/>
        </w:rPr>
        <w:t>Godin</w:t>
      </w:r>
      <w:r w:rsidR="00E51891" w:rsidRPr="003E0805">
        <w:rPr>
          <w:rFonts w:asciiTheme="minorHAnsi" w:hAnsiTheme="minorHAnsi"/>
          <w:smallCaps/>
          <w:sz w:val="24"/>
          <w:szCs w:val="24"/>
        </w:rPr>
        <w:t>, M.</w:t>
      </w:r>
      <w:r w:rsidR="00E51891" w:rsidRPr="00E51891">
        <w:rPr>
          <w:rFonts w:asciiTheme="minorHAnsi" w:hAnsiTheme="minorHAnsi"/>
          <w:sz w:val="24"/>
          <w:szCs w:val="24"/>
        </w:rPr>
        <w:t xml:space="preserve"> (2017). Géométrie plane : pour une approche cohérente du début de l’école à la fin du collège. In </w:t>
      </w:r>
      <w:proofErr w:type="spellStart"/>
      <w:r w:rsidR="00E51891" w:rsidRPr="00E51891">
        <w:rPr>
          <w:rFonts w:asciiTheme="minorHAnsi" w:hAnsiTheme="minorHAnsi"/>
          <w:i/>
          <w:iCs/>
          <w:sz w:val="24"/>
          <w:szCs w:val="24"/>
        </w:rPr>
        <w:t>Concertum</w:t>
      </w:r>
      <w:proofErr w:type="spellEnd"/>
      <w:r w:rsidR="00E51891" w:rsidRPr="00E51891">
        <w:rPr>
          <w:rFonts w:asciiTheme="minorHAnsi" w:hAnsiTheme="minorHAnsi"/>
          <w:i/>
          <w:iCs/>
          <w:sz w:val="24"/>
          <w:szCs w:val="24"/>
        </w:rPr>
        <w:t xml:space="preserve"> de la CORFEM</w:t>
      </w:r>
      <w:r w:rsidR="00E51891" w:rsidRPr="00E51891">
        <w:rPr>
          <w:rFonts w:asciiTheme="minorHAnsi" w:hAnsiTheme="minorHAnsi"/>
          <w:sz w:val="24"/>
          <w:szCs w:val="24"/>
        </w:rPr>
        <w:t>.</w:t>
      </w:r>
    </w:p>
    <w:p w14:paraId="04E32E8D" w14:textId="0F212F02" w:rsidR="00E51891" w:rsidRPr="00E51891" w:rsidRDefault="00E51891" w:rsidP="0080205C">
      <w:pPr>
        <w:pStyle w:val="Rfrences"/>
        <w:spacing w:before="0"/>
        <w:ind w:left="0" w:firstLine="0"/>
        <w:jc w:val="both"/>
        <w:rPr>
          <w:rFonts w:asciiTheme="minorHAnsi" w:hAnsiTheme="minorHAnsi"/>
          <w:sz w:val="24"/>
          <w:szCs w:val="24"/>
        </w:rPr>
      </w:pPr>
      <w:proofErr w:type="spellStart"/>
      <w:r w:rsidRPr="003E0805">
        <w:rPr>
          <w:rFonts w:asciiTheme="minorHAnsi" w:hAnsiTheme="minorHAnsi" w:cs="ı'1BËï'1"/>
          <w:smallCaps/>
          <w:sz w:val="24"/>
          <w:szCs w:val="24"/>
          <w:lang w:val="en-GB"/>
        </w:rPr>
        <w:t>P</w:t>
      </w:r>
      <w:r w:rsidR="003E0805" w:rsidRPr="003E0805">
        <w:rPr>
          <w:rFonts w:asciiTheme="minorHAnsi" w:hAnsiTheme="minorHAnsi" w:cs="ı'1BËï'1"/>
          <w:smallCaps/>
          <w:sz w:val="24"/>
          <w:szCs w:val="24"/>
          <w:lang w:val="en-GB"/>
        </w:rPr>
        <w:t>etitfour</w:t>
      </w:r>
      <w:proofErr w:type="spellEnd"/>
      <w:r w:rsidRPr="00E51891">
        <w:rPr>
          <w:rStyle w:val="biblionom"/>
          <w:rFonts w:asciiTheme="minorHAnsi" w:hAnsiTheme="minorHAnsi"/>
          <w:sz w:val="24"/>
          <w:szCs w:val="24"/>
        </w:rPr>
        <w:t xml:space="preserve"> E.</w:t>
      </w:r>
      <w:r w:rsidRPr="00E51891">
        <w:rPr>
          <w:rFonts w:asciiTheme="minorHAnsi" w:hAnsiTheme="minorHAnsi"/>
          <w:sz w:val="24"/>
          <w:szCs w:val="24"/>
        </w:rPr>
        <w:t xml:space="preserve"> (2015)</w:t>
      </w:r>
      <w:r>
        <w:rPr>
          <w:rFonts w:asciiTheme="minorHAnsi" w:hAnsiTheme="minorHAnsi"/>
          <w:sz w:val="24"/>
          <w:szCs w:val="24"/>
        </w:rPr>
        <w:t>.</w:t>
      </w:r>
      <w:r w:rsidRPr="00E51891">
        <w:rPr>
          <w:rFonts w:asciiTheme="minorHAnsi" w:hAnsiTheme="minorHAnsi"/>
          <w:sz w:val="24"/>
          <w:szCs w:val="24"/>
        </w:rPr>
        <w:t xml:space="preserve"> Enseignement de la géométrie à des élèves en difficulté d’apprentissage : étude du processus d’accès à la géométrie d’élèves dyspraxiques </w:t>
      </w:r>
      <w:proofErr w:type="spellStart"/>
      <w:r w:rsidRPr="00E51891">
        <w:rPr>
          <w:rFonts w:asciiTheme="minorHAnsi" w:hAnsiTheme="minorHAnsi"/>
          <w:sz w:val="24"/>
          <w:szCs w:val="24"/>
        </w:rPr>
        <w:t>visuo</w:t>
      </w:r>
      <w:proofErr w:type="spellEnd"/>
      <w:r w:rsidRPr="00E51891">
        <w:rPr>
          <w:rFonts w:asciiTheme="minorHAnsi" w:hAnsiTheme="minorHAnsi"/>
          <w:sz w:val="24"/>
          <w:szCs w:val="24"/>
        </w:rPr>
        <w:t>-spatiaux lors de la transition CM2-6</w:t>
      </w:r>
      <w:r w:rsidRPr="00E51891">
        <w:rPr>
          <w:rFonts w:asciiTheme="minorHAnsi" w:hAnsiTheme="minorHAnsi"/>
          <w:sz w:val="24"/>
          <w:szCs w:val="24"/>
          <w:vertAlign w:val="superscript"/>
        </w:rPr>
        <w:t>ème</w:t>
      </w:r>
      <w:r w:rsidRPr="00E51891">
        <w:rPr>
          <w:rFonts w:asciiTheme="minorHAnsi" w:hAnsiTheme="minorHAnsi"/>
          <w:sz w:val="24"/>
          <w:szCs w:val="24"/>
        </w:rPr>
        <w:t>. Thèse de l’Université Paris 7.</w:t>
      </w:r>
    </w:p>
    <w:p w14:paraId="1A7D969D" w14:textId="2B16388F" w:rsidR="00E51891" w:rsidRPr="00E51891" w:rsidRDefault="003E0805" w:rsidP="0080205C">
      <w:pPr>
        <w:pStyle w:val="Rfrences"/>
        <w:spacing w:before="0"/>
        <w:ind w:left="0" w:firstLine="0"/>
        <w:jc w:val="both"/>
        <w:rPr>
          <w:rFonts w:asciiTheme="minorHAnsi" w:hAnsiTheme="minorHAnsi"/>
          <w:sz w:val="24"/>
          <w:szCs w:val="24"/>
        </w:rPr>
      </w:pPr>
      <w:proofErr w:type="spellStart"/>
      <w:r>
        <w:rPr>
          <w:rFonts w:asciiTheme="minorHAnsi" w:hAnsiTheme="minorHAnsi" w:cs="ı'1BËï'1"/>
          <w:smallCaps/>
          <w:sz w:val="24"/>
          <w:szCs w:val="24"/>
          <w:lang w:val="en-GB"/>
        </w:rPr>
        <w:t>Rabardel</w:t>
      </w:r>
      <w:proofErr w:type="spellEnd"/>
      <w:r w:rsidR="00E51891" w:rsidRPr="00E51891">
        <w:rPr>
          <w:rStyle w:val="biblionom"/>
          <w:rFonts w:asciiTheme="minorHAnsi" w:hAnsiTheme="minorHAnsi"/>
          <w:sz w:val="24"/>
          <w:szCs w:val="24"/>
        </w:rPr>
        <w:t xml:space="preserve"> P.</w:t>
      </w:r>
      <w:r w:rsidR="00E51891" w:rsidRPr="00E51891">
        <w:rPr>
          <w:rFonts w:asciiTheme="minorHAnsi" w:hAnsiTheme="minorHAnsi"/>
          <w:sz w:val="24"/>
          <w:szCs w:val="24"/>
        </w:rPr>
        <w:t xml:space="preserve"> (1995)</w:t>
      </w:r>
      <w:r w:rsidR="00E51891">
        <w:rPr>
          <w:rFonts w:asciiTheme="minorHAnsi" w:hAnsiTheme="minorHAnsi"/>
          <w:sz w:val="24"/>
          <w:szCs w:val="24"/>
        </w:rPr>
        <w:t>.</w:t>
      </w:r>
      <w:r w:rsidR="00E51891" w:rsidRPr="00E51891">
        <w:rPr>
          <w:rFonts w:asciiTheme="minorHAnsi" w:hAnsiTheme="minorHAnsi"/>
          <w:sz w:val="24"/>
          <w:szCs w:val="24"/>
        </w:rPr>
        <w:t xml:space="preserve"> </w:t>
      </w:r>
      <w:r w:rsidR="00E51891" w:rsidRPr="00E51891">
        <w:rPr>
          <w:rFonts w:asciiTheme="minorHAnsi" w:hAnsiTheme="minorHAnsi"/>
          <w:i/>
          <w:sz w:val="24"/>
          <w:szCs w:val="24"/>
        </w:rPr>
        <w:t>Les hommes et les technologies. Approche cognitive des instruments contemporains</w:t>
      </w:r>
      <w:r w:rsidR="00E51891" w:rsidRPr="00E51891">
        <w:rPr>
          <w:rFonts w:asciiTheme="minorHAnsi" w:hAnsiTheme="minorHAnsi"/>
          <w:sz w:val="24"/>
          <w:szCs w:val="24"/>
        </w:rPr>
        <w:t>. Armand Colin.</w:t>
      </w:r>
    </w:p>
    <w:p w14:paraId="5F07D223" w14:textId="11885355" w:rsidR="00E51891" w:rsidRPr="00E51891" w:rsidRDefault="003E0805" w:rsidP="0080205C">
      <w:pPr>
        <w:pStyle w:val="Rfrences"/>
        <w:spacing w:before="0"/>
        <w:ind w:left="0" w:firstLine="0"/>
        <w:jc w:val="both"/>
        <w:rPr>
          <w:rFonts w:asciiTheme="minorHAnsi" w:hAnsiTheme="minorHAnsi"/>
          <w:sz w:val="24"/>
          <w:szCs w:val="24"/>
          <w:lang w:val="en-GB"/>
        </w:rPr>
      </w:pPr>
      <w:r>
        <w:rPr>
          <w:rFonts w:asciiTheme="minorHAnsi" w:hAnsiTheme="minorHAnsi"/>
          <w:smallCaps/>
          <w:sz w:val="24"/>
          <w:szCs w:val="24"/>
          <w:lang w:val="en-GB"/>
        </w:rPr>
        <w:t>Radford</w:t>
      </w:r>
      <w:r w:rsidR="00E51891" w:rsidRPr="00E51891">
        <w:rPr>
          <w:rFonts w:asciiTheme="minorHAnsi" w:hAnsiTheme="minorHAnsi"/>
          <w:sz w:val="24"/>
          <w:szCs w:val="24"/>
          <w:lang w:val="en-GB"/>
        </w:rPr>
        <w:t xml:space="preserve"> L. (2006). Elements of a Cultural Theory of Objectification. </w:t>
      </w:r>
      <w:r w:rsidR="00E51891" w:rsidRPr="000E4131">
        <w:rPr>
          <w:rFonts w:asciiTheme="minorHAnsi" w:hAnsiTheme="minorHAnsi"/>
          <w:i/>
          <w:sz w:val="24"/>
          <w:szCs w:val="24"/>
          <w:lang w:val="es-ES"/>
        </w:rPr>
        <w:t>Revista Latinoamericana de Investigación</w:t>
      </w:r>
      <w:r w:rsidR="00E51891" w:rsidRPr="000E4131">
        <w:rPr>
          <w:rFonts w:asciiTheme="minorHAnsi" w:hAnsiTheme="minorHAnsi"/>
          <w:i/>
          <w:sz w:val="24"/>
          <w:szCs w:val="24"/>
          <w:lang w:val="en-GB"/>
        </w:rPr>
        <w:t xml:space="preserve"> en </w:t>
      </w:r>
      <w:r w:rsidR="00E51891" w:rsidRPr="000E4131">
        <w:rPr>
          <w:rFonts w:asciiTheme="minorHAnsi" w:hAnsiTheme="minorHAnsi"/>
          <w:i/>
          <w:sz w:val="24"/>
          <w:szCs w:val="24"/>
          <w:lang w:val="es-ES"/>
        </w:rPr>
        <w:t>Matemática Educativa</w:t>
      </w:r>
      <w:r w:rsidR="00E51891" w:rsidRPr="000E4131">
        <w:rPr>
          <w:rFonts w:asciiTheme="minorHAnsi" w:hAnsiTheme="minorHAnsi"/>
          <w:i/>
          <w:sz w:val="24"/>
          <w:szCs w:val="24"/>
          <w:lang w:val="en-GB"/>
        </w:rPr>
        <w:t>, Special Issue on Semiotics, Culture and Mathematical Thinking, 103-129.</w:t>
      </w:r>
    </w:p>
    <w:p w14:paraId="4A155F08" w14:textId="10E380CA" w:rsidR="00E51891" w:rsidRPr="00E51891" w:rsidRDefault="003E0805" w:rsidP="0080205C">
      <w:pPr>
        <w:pStyle w:val="Rfrences"/>
        <w:spacing w:before="0"/>
        <w:ind w:left="0" w:firstLine="0"/>
        <w:jc w:val="both"/>
        <w:rPr>
          <w:rFonts w:asciiTheme="minorHAnsi" w:hAnsiTheme="minorHAnsi"/>
          <w:i/>
          <w:sz w:val="24"/>
          <w:szCs w:val="24"/>
        </w:rPr>
      </w:pPr>
      <w:proofErr w:type="spellStart"/>
      <w:r>
        <w:rPr>
          <w:rFonts w:asciiTheme="minorHAnsi" w:hAnsiTheme="minorHAnsi"/>
          <w:smallCaps/>
          <w:sz w:val="24"/>
          <w:szCs w:val="24"/>
        </w:rPr>
        <w:t>Vergnaud</w:t>
      </w:r>
      <w:proofErr w:type="spellEnd"/>
      <w:r w:rsidR="00E51891" w:rsidRPr="00E51891">
        <w:rPr>
          <w:rFonts w:asciiTheme="minorHAnsi" w:hAnsiTheme="minorHAnsi"/>
          <w:sz w:val="24"/>
          <w:szCs w:val="24"/>
        </w:rPr>
        <w:t xml:space="preserve"> G. (1991)</w:t>
      </w:r>
      <w:r w:rsidR="00E51891">
        <w:rPr>
          <w:rFonts w:asciiTheme="minorHAnsi" w:hAnsiTheme="minorHAnsi"/>
          <w:sz w:val="24"/>
          <w:szCs w:val="24"/>
        </w:rPr>
        <w:t>.</w:t>
      </w:r>
      <w:r w:rsidR="00E51891" w:rsidRPr="00E51891">
        <w:rPr>
          <w:rFonts w:asciiTheme="minorHAnsi" w:hAnsiTheme="minorHAnsi"/>
          <w:sz w:val="24"/>
          <w:szCs w:val="24"/>
        </w:rPr>
        <w:t xml:space="preserve"> Langage et pensée dans l’apprentissage des mathématiques, </w:t>
      </w:r>
      <w:r w:rsidR="00E51891" w:rsidRPr="00E51891">
        <w:rPr>
          <w:rFonts w:asciiTheme="minorHAnsi" w:hAnsiTheme="minorHAnsi"/>
          <w:i/>
          <w:sz w:val="24"/>
          <w:szCs w:val="24"/>
        </w:rPr>
        <w:t>Revue Française de Pédagogie, 96, 79-86.</w:t>
      </w:r>
    </w:p>
    <w:p w14:paraId="394DCC47" w14:textId="77777777" w:rsidR="00E51891" w:rsidRPr="00E51891" w:rsidRDefault="00E51891" w:rsidP="000E4131">
      <w:pPr>
        <w:pStyle w:val="Rfrences"/>
        <w:jc w:val="both"/>
        <w:rPr>
          <w:rFonts w:asciiTheme="minorHAnsi" w:hAnsiTheme="minorHAnsi"/>
          <w:sz w:val="24"/>
          <w:szCs w:val="24"/>
        </w:rPr>
      </w:pPr>
    </w:p>
    <w:p w14:paraId="393D93BC" w14:textId="77777777" w:rsidR="00E51891" w:rsidRDefault="00E51891" w:rsidP="000E4131">
      <w:pPr>
        <w:rPr>
          <w:rStyle w:val="biblionom"/>
        </w:rPr>
      </w:pPr>
    </w:p>
    <w:p w14:paraId="19E47792" w14:textId="30EB9956" w:rsidR="004E1F41" w:rsidRPr="004E1F41" w:rsidRDefault="004E1F41" w:rsidP="000E4131"/>
    <w:sectPr w:rsidR="004E1F41" w:rsidRPr="004E1F41" w:rsidSect="003D2E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ı'1BËï'1">
    <w:altName w:val="Cambria"/>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41"/>
    <w:rsid w:val="000E4131"/>
    <w:rsid w:val="00256270"/>
    <w:rsid w:val="003D2ED7"/>
    <w:rsid w:val="003E0805"/>
    <w:rsid w:val="004E1F41"/>
    <w:rsid w:val="00511031"/>
    <w:rsid w:val="005909B6"/>
    <w:rsid w:val="0080205C"/>
    <w:rsid w:val="00D71B8B"/>
    <w:rsid w:val="00E518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D40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 w:type="paragraph" w:customStyle="1" w:styleId="Rfrences">
    <w:name w:val="Références"/>
    <w:rsid w:val="00E51891"/>
    <w:pPr>
      <w:widowControl w:val="0"/>
      <w:suppressAutoHyphens/>
      <w:autoSpaceDN w:val="0"/>
      <w:spacing w:before="113"/>
      <w:ind w:left="539" w:hanging="539"/>
      <w:textAlignment w:val="baseline"/>
    </w:pPr>
    <w:rPr>
      <w:rFonts w:ascii="Calibri" w:eastAsia="Times New Roman" w:hAnsi="Calibri" w:cs="Times New Roman"/>
      <w:kern w:val="3"/>
      <w:sz w:val="22"/>
      <w:szCs w:val="22"/>
    </w:rPr>
  </w:style>
  <w:style w:type="paragraph" w:customStyle="1" w:styleId="bibliotexte">
    <w:name w:val="biblio texte"/>
    <w:basedOn w:val="Normal"/>
    <w:rsid w:val="00E51891"/>
    <w:pPr>
      <w:spacing w:line="200" w:lineRule="exact"/>
    </w:pPr>
    <w:rPr>
      <w:rFonts w:ascii="Times New Roman" w:eastAsia="Times New Roman" w:hAnsi="Times New Roman" w:cs="Times New Roman"/>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 w:type="paragraph" w:customStyle="1" w:styleId="Rfrences">
    <w:name w:val="Références"/>
    <w:rsid w:val="00E51891"/>
    <w:pPr>
      <w:widowControl w:val="0"/>
      <w:suppressAutoHyphens/>
      <w:autoSpaceDN w:val="0"/>
      <w:spacing w:before="113"/>
      <w:ind w:left="539" w:hanging="539"/>
      <w:textAlignment w:val="baseline"/>
    </w:pPr>
    <w:rPr>
      <w:rFonts w:ascii="Calibri" w:eastAsia="Times New Roman" w:hAnsi="Calibri" w:cs="Times New Roman"/>
      <w:kern w:val="3"/>
      <w:sz w:val="22"/>
      <w:szCs w:val="22"/>
    </w:rPr>
  </w:style>
  <w:style w:type="paragraph" w:customStyle="1" w:styleId="bibliotexte">
    <w:name w:val="biblio texte"/>
    <w:basedOn w:val="Normal"/>
    <w:rsid w:val="00E51891"/>
    <w:pPr>
      <w:spacing w:line="200" w:lineRule="exact"/>
    </w:pPr>
    <w:rPr>
      <w:rFonts w:ascii="Times New Roman" w:eastAsia="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631</Words>
  <Characters>3476</Characters>
  <Application>Microsoft Macintosh Word</Application>
  <DocSecurity>0</DocSecurity>
  <Lines>28</Lines>
  <Paragraphs>8</Paragraphs>
  <ScaleCrop>false</ScaleCrop>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COPPE</dc:creator>
  <cp:keywords/>
  <dc:description/>
  <cp:lastModifiedBy>Sylvie COPPE</cp:lastModifiedBy>
  <cp:revision>5</cp:revision>
  <dcterms:created xsi:type="dcterms:W3CDTF">2017-02-08T15:30:00Z</dcterms:created>
  <dcterms:modified xsi:type="dcterms:W3CDTF">2017-03-20T15:28:00Z</dcterms:modified>
</cp:coreProperties>
</file>