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397AD" w14:textId="12469C18" w:rsidR="00782079" w:rsidRPr="006F72FB" w:rsidRDefault="00782079" w:rsidP="006F72FB">
      <w:pPr>
        <w:pStyle w:val="titre"/>
      </w:pPr>
      <w:r w:rsidRPr="006F72FB">
        <w:t>Evaluer en mathématiques : des pistes pour un enrichissement réciproque de la recherche en didactique des mathématiques et en évaluation </w:t>
      </w:r>
    </w:p>
    <w:p w14:paraId="729704A4" w14:textId="77777777" w:rsidR="002436C2" w:rsidRDefault="00782079" w:rsidP="002436C2">
      <w:pPr>
        <w:pStyle w:val="auteurs"/>
      </w:pPr>
      <w:r>
        <w:t xml:space="preserve">Brigitte </w:t>
      </w:r>
      <w:proofErr w:type="spellStart"/>
      <w:r>
        <w:t>Grugeon-Allys</w:t>
      </w:r>
      <w:proofErr w:type="spellEnd"/>
      <w:r w:rsidR="002436C2">
        <w:t xml:space="preserve"> </w:t>
      </w:r>
    </w:p>
    <w:p w14:paraId="38D88BC3" w14:textId="39DEFAD1" w:rsidR="00782079" w:rsidRPr="00511031" w:rsidRDefault="002436C2" w:rsidP="006F72FB">
      <w:pPr>
        <w:pStyle w:val="auteurs"/>
      </w:pPr>
      <w:r>
        <w:t>(</w:t>
      </w:r>
      <w:r w:rsidR="00782079">
        <w:t xml:space="preserve">Laboratoire de Didactique André </w:t>
      </w:r>
      <w:proofErr w:type="spellStart"/>
      <w:r w:rsidR="00782079">
        <w:t>Revuz</w:t>
      </w:r>
      <w:proofErr w:type="spellEnd"/>
      <w:r w:rsidR="00782079">
        <w:t xml:space="preserve">, Université Paris Est Créteil, </w:t>
      </w:r>
      <w:r w:rsidR="00782079">
        <w:rPr>
          <w:rFonts w:eastAsia="Times New Roman" w:cs="Times New Roman"/>
        </w:rPr>
        <w:t>Universités Paris-Diderot, Universités d</w:t>
      </w:r>
      <w:r>
        <w:rPr>
          <w:rFonts w:eastAsia="Times New Roman" w:cs="Times New Roman"/>
        </w:rPr>
        <w:t>e Cergy Pontoise, Artois, Rouen)</w:t>
      </w:r>
    </w:p>
    <w:p w14:paraId="66768D8E" w14:textId="77777777" w:rsidR="00782079" w:rsidRDefault="00782079" w:rsidP="00782079">
      <w:pPr>
        <w:rPr>
          <w:rFonts w:cs="Calibri"/>
        </w:rPr>
      </w:pPr>
      <w:r w:rsidRPr="00C03153">
        <w:t>L’enjeu de ce troisième cours est d’</w:t>
      </w:r>
      <w:r w:rsidRPr="00C03153">
        <w:rPr>
          <w:rFonts w:cs="Calibri"/>
        </w:rPr>
        <w:t>interroger les possibilités d’enrichissement réciproque de la recherche en didactique des mathématiques et en évaluation, tout en respectant les ancrages épistémologiques et théoriques propres à leurs approches : de leurs objets, questionnements et problématiques, de leurs cadres théoriques et conceptuels, ou de leurs méthodes.</w:t>
      </w:r>
      <w:r w:rsidRPr="00A118C6">
        <w:rPr>
          <w:rFonts w:cs="Calibri"/>
        </w:rPr>
        <w:t xml:space="preserve"> </w:t>
      </w:r>
    </w:p>
    <w:p w14:paraId="6D2178FE" w14:textId="77777777" w:rsidR="00782079" w:rsidRDefault="00782079" w:rsidP="00782079">
      <w:r>
        <w:t xml:space="preserve">Après avoir fait le point sur les travaux menés sur l’évaluation dans le champ de la didactique des mathématiques (Bodin, 1997 ; Brousseau, 1986, 1995 ; </w:t>
      </w:r>
      <w:proofErr w:type="spellStart"/>
      <w:r>
        <w:t>Chevallard</w:t>
      </w:r>
      <w:proofErr w:type="spellEnd"/>
      <w:r>
        <w:t xml:space="preserve">, 1986, 1989), puis dans le champ de l’évaluation (Allal </w:t>
      </w:r>
      <w:r>
        <w:rPr>
          <w:rStyle w:val="st"/>
          <w:rFonts w:cs="Times New Roman"/>
        </w:rPr>
        <w:t xml:space="preserve">&amp; </w:t>
      </w:r>
      <w:proofErr w:type="spellStart"/>
      <w:r>
        <w:rPr>
          <w:rStyle w:val="st"/>
          <w:rFonts w:cs="Times New Roman"/>
        </w:rPr>
        <w:t>Mottier</w:t>
      </w:r>
      <w:proofErr w:type="spellEnd"/>
      <w:r>
        <w:rPr>
          <w:rStyle w:val="st"/>
          <w:rFonts w:cs="Times New Roman"/>
        </w:rPr>
        <w:t xml:space="preserve"> Lopez, 2007 </w:t>
      </w:r>
      <w:r>
        <w:t xml:space="preserve">; </w:t>
      </w:r>
      <w:r>
        <w:rPr>
          <w:rFonts w:eastAsia="Times New Roman" w:cs="Times New Roman"/>
        </w:rPr>
        <w:t xml:space="preserve">Black et William, 1998 ; </w:t>
      </w:r>
      <w:r>
        <w:t xml:space="preserve">De </w:t>
      </w:r>
      <w:proofErr w:type="spellStart"/>
      <w:r>
        <w:t>Ketele</w:t>
      </w:r>
      <w:proofErr w:type="spellEnd"/>
      <w:r>
        <w:t xml:space="preserve">, 2016 ; </w:t>
      </w:r>
      <w:proofErr w:type="spellStart"/>
      <w:r>
        <w:t>Mottier</w:t>
      </w:r>
      <w:proofErr w:type="spellEnd"/>
      <w:r>
        <w:t>-Lopez, 2012</w:t>
      </w:r>
      <w:r>
        <w:rPr>
          <w:rFonts w:eastAsia="Times New Roman" w:cs="Times New Roman"/>
        </w:rPr>
        <w:t>)</w:t>
      </w:r>
      <w:r w:rsidRPr="00782079">
        <w:rPr>
          <w:bCs/>
        </w:rPr>
        <w:t xml:space="preserve"> </w:t>
      </w:r>
      <w:r>
        <w:t xml:space="preserve">nous dégagerons des évolutions de leurs questionnements et problématiques, de leurs cadres théoriques et conceptuels. </w:t>
      </w:r>
    </w:p>
    <w:p w14:paraId="382BA481" w14:textId="77777777" w:rsidR="00782079" w:rsidRDefault="00782079" w:rsidP="00782079">
      <w:r>
        <w:t>Nous interrogerons à partir des théories didactiques la question de la validité d’une évaluation et du rôle d’une approche épistémologique (</w:t>
      </w:r>
      <w:proofErr w:type="spellStart"/>
      <w:r>
        <w:t>Grugeon-Allys</w:t>
      </w:r>
      <w:proofErr w:type="spellEnd"/>
      <w:r>
        <w:t xml:space="preserve">, 2016). Plus localement, nous revisiterons la notion de « difficulté » d’une question. Nous l’illustrerons par des apports de l’interprétation didactique des évaluations nationales et internationales à un niveau local ou global (CNESO, 2016 ; </w:t>
      </w:r>
      <w:proofErr w:type="spellStart"/>
      <w:r>
        <w:t>Grugeon-Allys</w:t>
      </w:r>
      <w:proofErr w:type="spellEnd"/>
      <w:r>
        <w:t xml:space="preserve"> &amp; </w:t>
      </w:r>
      <w:proofErr w:type="spellStart"/>
      <w:r>
        <w:t>Grapin</w:t>
      </w:r>
      <w:proofErr w:type="spellEnd"/>
      <w:r>
        <w:t xml:space="preserve">, 2015 ; </w:t>
      </w:r>
      <w:proofErr w:type="spellStart"/>
      <w:r w:rsidRPr="00411387">
        <w:rPr>
          <w:rFonts w:cs="Calibri"/>
        </w:rPr>
        <w:t>Roditi</w:t>
      </w:r>
      <w:proofErr w:type="spellEnd"/>
      <w:r w:rsidRPr="00411387">
        <w:rPr>
          <w:rFonts w:cs="Calibri"/>
        </w:rPr>
        <w:t xml:space="preserve"> &amp; Salles, 2015 ; </w:t>
      </w:r>
      <w:proofErr w:type="spellStart"/>
      <w:r w:rsidRPr="00411387">
        <w:rPr>
          <w:rFonts w:cs="Calibri"/>
        </w:rPr>
        <w:t>Sayac</w:t>
      </w:r>
      <w:proofErr w:type="spellEnd"/>
      <w:r w:rsidRPr="00411387">
        <w:rPr>
          <w:rFonts w:cs="Calibri"/>
        </w:rPr>
        <w:t xml:space="preserve"> &amp; </w:t>
      </w:r>
      <w:proofErr w:type="spellStart"/>
      <w:r w:rsidRPr="00411387">
        <w:rPr>
          <w:rFonts w:cs="Calibri"/>
        </w:rPr>
        <w:t>Grapin</w:t>
      </w:r>
      <w:proofErr w:type="spellEnd"/>
      <w:r>
        <w:rPr>
          <w:rFonts w:cs="Calibri"/>
        </w:rPr>
        <w:t>,</w:t>
      </w:r>
      <w:r w:rsidRPr="00411387">
        <w:rPr>
          <w:rFonts w:cs="Calibri"/>
        </w:rPr>
        <w:t xml:space="preserve"> 2015</w:t>
      </w:r>
      <w:r>
        <w:t xml:space="preserve">). </w:t>
      </w:r>
    </w:p>
    <w:p w14:paraId="7D52C8FE" w14:textId="77777777" w:rsidR="00782079" w:rsidRDefault="00782079" w:rsidP="00782079">
      <w:r>
        <w:t xml:space="preserve">Nous </w:t>
      </w:r>
      <w:proofErr w:type="spellStart"/>
      <w:r>
        <w:t>nous</w:t>
      </w:r>
      <w:proofErr w:type="spellEnd"/>
      <w:r>
        <w:t xml:space="preserve"> demanderons en quoi la référence à un savoir, à travers les analyses épistémologiques et/ou didactiques constitue un élément essentiel des processus d’évaluation formative et comment, selon les différents cadres théoriques, les analyses peuvent être menées, à différents niveaux d’échelles, en particulier, à travers les concepts de contrat et de milieu et / ou de topos. </w:t>
      </w:r>
    </w:p>
    <w:p w14:paraId="6BF5BA32" w14:textId="77777777" w:rsidR="00782079" w:rsidRDefault="00782079" w:rsidP="00782079">
      <w:pPr>
        <w:rPr>
          <w:bCs/>
        </w:rPr>
      </w:pPr>
      <w:r w:rsidRPr="00782079">
        <w:rPr>
          <w:bCs/>
        </w:rPr>
        <w:t>Pour terminer, nous questionnerons les conditions d’évolution des pratiques enseignantes en lien avec l’intégration de pratiques d’évaluation formative</w:t>
      </w:r>
      <w:r>
        <w:rPr>
          <w:bCs/>
        </w:rPr>
        <w:t xml:space="preserve"> </w:t>
      </w:r>
      <w:r w:rsidRPr="00782079">
        <w:rPr>
          <w:bCs/>
        </w:rPr>
        <w:t>et de régulation</w:t>
      </w:r>
      <w:r>
        <w:rPr>
          <w:bCs/>
        </w:rPr>
        <w:t>.</w:t>
      </w:r>
    </w:p>
    <w:p w14:paraId="7053B9F6" w14:textId="77777777" w:rsidR="00782079" w:rsidRDefault="00782079" w:rsidP="00782079">
      <w:pPr>
        <w:rPr>
          <w:b/>
          <w:bCs/>
        </w:rPr>
      </w:pPr>
    </w:p>
    <w:p w14:paraId="57120E4C" w14:textId="77777777" w:rsidR="004E1F41" w:rsidRPr="00782079" w:rsidRDefault="004E1F41" w:rsidP="00782079">
      <w:pPr>
        <w:rPr>
          <w:bCs/>
        </w:rPr>
      </w:pPr>
      <w:r w:rsidRPr="00782079">
        <w:rPr>
          <w:b/>
          <w:bCs/>
        </w:rPr>
        <w:t>REFERENCES</w:t>
      </w:r>
    </w:p>
    <w:p w14:paraId="19FD1513" w14:textId="219C5B41" w:rsidR="00C83C78" w:rsidRDefault="002436C2" w:rsidP="00C83C78">
      <w:pPr>
        <w:spacing w:after="60"/>
        <w:rPr>
          <w:rFonts w:ascii="Times New Roman" w:eastAsia="Times New Roman" w:hAnsi="Times New Roman" w:cs="Times New Roman"/>
        </w:rPr>
      </w:pPr>
      <w:r>
        <w:rPr>
          <w:rStyle w:val="biblionom"/>
        </w:rPr>
        <w:t>Allal, L.</w:t>
      </w:r>
      <w:r w:rsidR="00C83C78" w:rsidRPr="002436C2">
        <w:rPr>
          <w:rStyle w:val="biblionom"/>
        </w:rPr>
        <w:t xml:space="preserve"> &amp; </w:t>
      </w:r>
      <w:proofErr w:type="spellStart"/>
      <w:r w:rsidR="00C83C78" w:rsidRPr="002436C2">
        <w:rPr>
          <w:rStyle w:val="biblionom"/>
        </w:rPr>
        <w:t>Mottier</w:t>
      </w:r>
      <w:proofErr w:type="spellEnd"/>
      <w:r w:rsidR="00C83C78" w:rsidRPr="002436C2">
        <w:rPr>
          <w:rStyle w:val="biblionom"/>
        </w:rPr>
        <w:t xml:space="preserve"> Lopez, L. (2007).</w:t>
      </w:r>
      <w:r w:rsidR="00C83C78" w:rsidRPr="00C83C78">
        <w:rPr>
          <w:rFonts w:ascii="Times New Roman" w:eastAsia="Times New Roman" w:hAnsi="Times New Roman" w:cs="Times New Roman"/>
        </w:rPr>
        <w:t xml:space="preserve"> </w:t>
      </w:r>
      <w:r w:rsidR="00C83C78" w:rsidRPr="006F72FB">
        <w:rPr>
          <w:rFonts w:eastAsia="Times New Roman" w:cs="Times New Roman"/>
        </w:rPr>
        <w:t>Régulation des apprentissages en situation scolaire et en formation. Bruxelles</w:t>
      </w:r>
      <w:r w:rsidRPr="006F72FB">
        <w:rPr>
          <w:rFonts w:eastAsia="Times New Roman" w:cs="Times New Roman"/>
        </w:rPr>
        <w:t xml:space="preserve"> </w:t>
      </w:r>
      <w:r w:rsidR="00C83C78" w:rsidRPr="006F72FB">
        <w:rPr>
          <w:rFonts w:eastAsia="Times New Roman" w:cs="Times New Roman"/>
        </w:rPr>
        <w:t>: De Boeck.</w:t>
      </w:r>
    </w:p>
    <w:p w14:paraId="1568851E" w14:textId="7F7F7D8F" w:rsidR="00C83C78" w:rsidRPr="00C83C78" w:rsidRDefault="002436C2" w:rsidP="00C83C78">
      <w:pPr>
        <w:spacing w:after="60"/>
        <w:rPr>
          <w:rFonts w:ascii="Times New Roman" w:eastAsia="Times New Roman" w:hAnsi="Times New Roman" w:cs="Times New Roman"/>
        </w:rPr>
      </w:pPr>
      <w:r w:rsidRPr="002436C2">
        <w:rPr>
          <w:rStyle w:val="biblionom"/>
        </w:rPr>
        <w:t>Black, P.</w:t>
      </w:r>
      <w:r w:rsidR="00C83C78" w:rsidRPr="002436C2">
        <w:rPr>
          <w:rStyle w:val="biblionom"/>
        </w:rPr>
        <w:t xml:space="preserve"> &amp; </w:t>
      </w:r>
      <w:proofErr w:type="spellStart"/>
      <w:r w:rsidR="00C83C78" w:rsidRPr="002436C2">
        <w:rPr>
          <w:rStyle w:val="biblionom"/>
        </w:rPr>
        <w:t>Wiliam</w:t>
      </w:r>
      <w:proofErr w:type="spellEnd"/>
      <w:r w:rsidR="00C83C78" w:rsidRPr="002436C2">
        <w:rPr>
          <w:rStyle w:val="biblionom"/>
        </w:rPr>
        <w:t>, D. (1998).</w:t>
      </w:r>
      <w:r w:rsidR="00C83C78" w:rsidRPr="00C83C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83C78" w:rsidRPr="006F72FB">
        <w:rPr>
          <w:rFonts w:eastAsia="Times New Roman" w:cs="Times New Roman"/>
        </w:rPr>
        <w:t>Assessment</w:t>
      </w:r>
      <w:proofErr w:type="spellEnd"/>
      <w:r w:rsidR="00C83C78" w:rsidRPr="006F72FB">
        <w:rPr>
          <w:rFonts w:eastAsia="Times New Roman" w:cs="Times New Roman"/>
        </w:rPr>
        <w:t xml:space="preserve"> and </w:t>
      </w:r>
      <w:proofErr w:type="spellStart"/>
      <w:r w:rsidR="00C83C78" w:rsidRPr="006F72FB">
        <w:rPr>
          <w:rFonts w:eastAsia="Times New Roman" w:cs="Times New Roman"/>
        </w:rPr>
        <w:t>classroom</w:t>
      </w:r>
      <w:proofErr w:type="spellEnd"/>
      <w:r w:rsidR="00C83C78" w:rsidRPr="006F72FB">
        <w:rPr>
          <w:rFonts w:eastAsia="Times New Roman" w:cs="Times New Roman"/>
        </w:rPr>
        <w:t xml:space="preserve"> </w:t>
      </w:r>
      <w:proofErr w:type="spellStart"/>
      <w:r w:rsidR="00C83C78" w:rsidRPr="006F72FB">
        <w:rPr>
          <w:rFonts w:eastAsia="Times New Roman" w:cs="Times New Roman"/>
        </w:rPr>
        <w:t>learning</w:t>
      </w:r>
      <w:proofErr w:type="spellEnd"/>
      <w:r w:rsidR="00C83C78" w:rsidRPr="006F72FB">
        <w:rPr>
          <w:rFonts w:eastAsia="Times New Roman" w:cs="Times New Roman"/>
        </w:rPr>
        <w:t xml:space="preserve">. </w:t>
      </w:r>
      <w:proofErr w:type="spellStart"/>
      <w:r w:rsidR="00C83C78" w:rsidRPr="006F72FB">
        <w:rPr>
          <w:rFonts w:eastAsia="Times New Roman" w:cs="Times New Roman"/>
          <w:i/>
        </w:rPr>
        <w:t>Assessment</w:t>
      </w:r>
      <w:proofErr w:type="spellEnd"/>
      <w:r w:rsidR="00C83C78" w:rsidRPr="006F72FB">
        <w:rPr>
          <w:rFonts w:eastAsia="Times New Roman" w:cs="Times New Roman"/>
          <w:i/>
        </w:rPr>
        <w:t xml:space="preserve"> in Education: </w:t>
      </w:r>
      <w:proofErr w:type="spellStart"/>
      <w:r w:rsidR="00C83C78" w:rsidRPr="006F72FB">
        <w:rPr>
          <w:rFonts w:eastAsia="Times New Roman" w:cs="Times New Roman"/>
          <w:i/>
        </w:rPr>
        <w:t>Principles</w:t>
      </w:r>
      <w:proofErr w:type="spellEnd"/>
      <w:r w:rsidR="00C83C78" w:rsidRPr="006F72FB">
        <w:rPr>
          <w:rFonts w:eastAsia="Times New Roman" w:cs="Times New Roman"/>
          <w:i/>
        </w:rPr>
        <w:t>, Policy, &amp; Practice</w:t>
      </w:r>
      <w:r w:rsidR="00C83C78" w:rsidRPr="006F72FB">
        <w:rPr>
          <w:rFonts w:eastAsia="Times New Roman" w:cs="Times New Roman"/>
        </w:rPr>
        <w:t>, 5, 7–74.</w:t>
      </w:r>
    </w:p>
    <w:p w14:paraId="04009424" w14:textId="28C499FE" w:rsidR="00C83C78" w:rsidRPr="006F72FB" w:rsidRDefault="00C83C78" w:rsidP="00C83C78">
      <w:pPr>
        <w:spacing w:after="60"/>
        <w:rPr>
          <w:rFonts w:eastAsia="Times New Roman" w:cs="Times New Roman"/>
        </w:rPr>
      </w:pPr>
      <w:r w:rsidRPr="002436C2">
        <w:rPr>
          <w:rStyle w:val="biblionom"/>
        </w:rPr>
        <w:t>Bodin, A. (1997).</w:t>
      </w:r>
      <w:r w:rsidRPr="00C83C78">
        <w:rPr>
          <w:rFonts w:ascii="Times New Roman" w:hAnsi="Times New Roman" w:cs="Times New Roman"/>
          <w:color w:val="0F1115"/>
        </w:rPr>
        <w:t xml:space="preserve"> </w:t>
      </w:r>
      <w:r w:rsidRPr="006F72FB">
        <w:rPr>
          <w:rFonts w:cs="Times New Roman"/>
        </w:rPr>
        <w:t xml:space="preserve">L’évaluation du savoir mathématique – Questions et méthodes. </w:t>
      </w:r>
      <w:r w:rsidRPr="006F72FB">
        <w:rPr>
          <w:rFonts w:cs="Times New Roman"/>
          <w:i/>
        </w:rPr>
        <w:t>Recherches en Didactique des Mathématiques</w:t>
      </w:r>
      <w:r w:rsidRPr="006F72FB">
        <w:rPr>
          <w:rFonts w:cs="Times New Roman"/>
        </w:rPr>
        <w:t xml:space="preserve">, </w:t>
      </w:r>
      <w:r w:rsidRPr="006F72FB">
        <w:t>17(1), 49-96</w:t>
      </w:r>
      <w:r w:rsidRPr="006F72FB">
        <w:rPr>
          <w:rFonts w:cs="Times New Roman"/>
        </w:rPr>
        <w:t>.</w:t>
      </w:r>
    </w:p>
    <w:p w14:paraId="253FDBF5" w14:textId="1CFB65D2" w:rsidR="00C83C78" w:rsidRPr="006F72FB" w:rsidRDefault="00C83C78" w:rsidP="006F72FB">
      <w:r w:rsidRPr="006F72FB">
        <w:rPr>
          <w:rStyle w:val="biblionom"/>
        </w:rPr>
        <w:t>Brousseau, G. (1986).</w:t>
      </w:r>
      <w:r w:rsidRPr="006F72FB">
        <w:t xml:space="preserve"> Fondements et méthodes de la didactique des mathématiques. Recherches en didactique des mathématiques</w:t>
      </w:r>
      <w:r w:rsidR="002436C2" w:rsidRPr="006F72FB">
        <w:t xml:space="preserve"> 7(</w:t>
      </w:r>
      <w:r w:rsidRPr="006F72FB">
        <w:t>2</w:t>
      </w:r>
      <w:r w:rsidR="002436C2" w:rsidRPr="006F72FB">
        <w:t>)</w:t>
      </w:r>
      <w:r w:rsidRPr="006F72FB">
        <w:t xml:space="preserve">, 33-116. </w:t>
      </w:r>
    </w:p>
    <w:p w14:paraId="1DE6064B" w14:textId="1319C804" w:rsidR="00C83C78" w:rsidRPr="006F72FB" w:rsidRDefault="00C83C78" w:rsidP="00C83C78">
      <w:pPr>
        <w:spacing w:after="60"/>
        <w:rPr>
          <w:rFonts w:cs="Times New Roman"/>
        </w:rPr>
      </w:pPr>
      <w:r w:rsidRPr="002436C2">
        <w:rPr>
          <w:rStyle w:val="biblionom"/>
        </w:rPr>
        <w:t>Brousseau, G. (1995).</w:t>
      </w:r>
      <w:r w:rsidRPr="00C83C78">
        <w:rPr>
          <w:rFonts w:ascii="Times New Roman" w:hAnsi="Times New Roman" w:cs="Times New Roman"/>
        </w:rPr>
        <w:t xml:space="preserve"> </w:t>
      </w:r>
      <w:r w:rsidRPr="006F72FB">
        <w:rPr>
          <w:rFonts w:cs="Times New Roman"/>
        </w:rPr>
        <w:t>L’enseignant dans la théorie des situations didactiques : 1. Structure et foncti</w:t>
      </w:r>
      <w:r w:rsidR="002436C2" w:rsidRPr="006F72FB">
        <w:rPr>
          <w:rFonts w:cs="Times New Roman"/>
        </w:rPr>
        <w:t>onnement du système didactique.</w:t>
      </w:r>
      <w:r w:rsidRPr="006F72FB">
        <w:rPr>
          <w:rFonts w:cs="Times New Roman"/>
        </w:rPr>
        <w:t xml:space="preserve"> In R. </w:t>
      </w:r>
      <w:proofErr w:type="spellStart"/>
      <w:r w:rsidRPr="006F72FB">
        <w:rPr>
          <w:rFonts w:cs="Times New Roman"/>
        </w:rPr>
        <w:t>Noirfalise</w:t>
      </w:r>
      <w:proofErr w:type="spellEnd"/>
      <w:r w:rsidRPr="006F72FB">
        <w:rPr>
          <w:rFonts w:cs="Times New Roman"/>
        </w:rPr>
        <w:t xml:space="preserve"> &amp; M. J. Perrin-</w:t>
      </w:r>
      <w:proofErr w:type="spellStart"/>
      <w:r w:rsidRPr="006F72FB">
        <w:rPr>
          <w:rFonts w:cs="Times New Roman"/>
        </w:rPr>
        <w:t>Glorian</w:t>
      </w:r>
      <w:proofErr w:type="spellEnd"/>
      <w:r w:rsidRPr="006F72FB">
        <w:rPr>
          <w:rFonts w:cs="Times New Roman"/>
        </w:rPr>
        <w:t xml:space="preserve"> (</w:t>
      </w:r>
      <w:proofErr w:type="spellStart"/>
      <w:r w:rsidRPr="006F72FB">
        <w:rPr>
          <w:rFonts w:cs="Times New Roman"/>
        </w:rPr>
        <w:t>Eds</w:t>
      </w:r>
      <w:proofErr w:type="spellEnd"/>
      <w:r w:rsidRPr="006F72FB">
        <w:rPr>
          <w:rFonts w:cs="Times New Roman"/>
        </w:rPr>
        <w:t xml:space="preserve">.), </w:t>
      </w:r>
      <w:r w:rsidRPr="006F72FB">
        <w:rPr>
          <w:rFonts w:cs="Times New Roman"/>
          <w:i/>
        </w:rPr>
        <w:t>Actes de la VIII° Ecole d’été de didactique des mathématiques St-Sauves d’Auvergne</w:t>
      </w:r>
      <w:r w:rsidRPr="006F72FB">
        <w:rPr>
          <w:rFonts w:cs="Times New Roman"/>
        </w:rPr>
        <w:t xml:space="preserve"> (pp. 3-46). Clermont-Ferrand : IREM de Clermont-Ferrand.</w:t>
      </w:r>
    </w:p>
    <w:p w14:paraId="1C8C3F3E" w14:textId="282D6065" w:rsidR="00C83C78" w:rsidRPr="002436C2" w:rsidRDefault="00C83C78" w:rsidP="002436C2">
      <w:proofErr w:type="spellStart"/>
      <w:r w:rsidRPr="002436C2">
        <w:rPr>
          <w:rStyle w:val="biblionom"/>
        </w:rPr>
        <w:lastRenderedPageBreak/>
        <w:t>Chevallard</w:t>
      </w:r>
      <w:proofErr w:type="spellEnd"/>
      <w:r w:rsidRPr="002436C2">
        <w:rPr>
          <w:rStyle w:val="biblionom"/>
        </w:rPr>
        <w:t xml:space="preserve">, Y. &amp; </w:t>
      </w:r>
      <w:proofErr w:type="spellStart"/>
      <w:r w:rsidRPr="002436C2">
        <w:rPr>
          <w:rStyle w:val="biblionom"/>
        </w:rPr>
        <w:t>Feldemann</w:t>
      </w:r>
      <w:proofErr w:type="spellEnd"/>
      <w:r w:rsidRPr="002436C2">
        <w:rPr>
          <w:rStyle w:val="biblionom"/>
        </w:rPr>
        <w:t>, S. (1986).</w:t>
      </w:r>
      <w:r w:rsidRPr="002436C2">
        <w:t xml:space="preserve"> Pour une analyse didactique de l’évaluation</w:t>
      </w:r>
      <w:r w:rsidR="002436C2" w:rsidRPr="002436C2">
        <w:t xml:space="preserve">. </w:t>
      </w:r>
      <w:r w:rsidRPr="002436C2">
        <w:t>Marseille : IREM d’Aix-Marseille.</w:t>
      </w:r>
    </w:p>
    <w:p w14:paraId="4B62F8C0" w14:textId="6F18C46D" w:rsidR="00C83C78" w:rsidRPr="00C83C78" w:rsidRDefault="00C83C78" w:rsidP="00C83C78">
      <w:pPr>
        <w:spacing w:after="60"/>
        <w:rPr>
          <w:rFonts w:ascii="Times New Roman" w:hAnsi="Times New Roman" w:cs="Times New Roman"/>
        </w:rPr>
      </w:pPr>
      <w:proofErr w:type="spellStart"/>
      <w:r w:rsidRPr="002436C2">
        <w:rPr>
          <w:rStyle w:val="biblionom"/>
        </w:rPr>
        <w:t>Chevallard</w:t>
      </w:r>
      <w:proofErr w:type="spellEnd"/>
      <w:r w:rsidRPr="002436C2">
        <w:rPr>
          <w:rStyle w:val="biblionom"/>
        </w:rPr>
        <w:t>, Y. (1989).</w:t>
      </w:r>
      <w:r w:rsidRPr="00C83C78">
        <w:rPr>
          <w:rFonts w:ascii="Times New Roman" w:hAnsi="Times New Roman" w:cs="Times New Roman"/>
        </w:rPr>
        <w:t xml:space="preserve"> </w:t>
      </w:r>
      <w:r w:rsidRPr="006F72FB">
        <w:rPr>
          <w:rFonts w:cs="Times New Roman"/>
        </w:rPr>
        <w:t xml:space="preserve">Évaluation, véridiction, objectivation. In J. Colomb et J. </w:t>
      </w:r>
      <w:proofErr w:type="spellStart"/>
      <w:r w:rsidRPr="006F72FB">
        <w:rPr>
          <w:rFonts w:cs="Times New Roman"/>
        </w:rPr>
        <w:t>Marsenach</w:t>
      </w:r>
      <w:proofErr w:type="spellEnd"/>
      <w:r w:rsidRPr="006F72FB">
        <w:rPr>
          <w:rFonts w:cs="Times New Roman"/>
        </w:rPr>
        <w:t xml:space="preserve"> (</w:t>
      </w:r>
      <w:proofErr w:type="spellStart"/>
      <w:r w:rsidRPr="006F72FB">
        <w:rPr>
          <w:rFonts w:cs="Times New Roman"/>
        </w:rPr>
        <w:t>éds</w:t>
      </w:r>
      <w:proofErr w:type="spellEnd"/>
      <w:r w:rsidRPr="006F72FB">
        <w:rPr>
          <w:rFonts w:cs="Times New Roman"/>
        </w:rPr>
        <w:t xml:space="preserve">), </w:t>
      </w:r>
      <w:r w:rsidRPr="006F72FB">
        <w:rPr>
          <w:rFonts w:cs="Times New Roman"/>
          <w:i/>
        </w:rPr>
        <w:t>L’évaluateur en révolution</w:t>
      </w:r>
      <w:r w:rsidR="002436C2" w:rsidRPr="006F72FB">
        <w:rPr>
          <w:rFonts w:cs="Times New Roman"/>
        </w:rPr>
        <w:t xml:space="preserve"> (pp. 13-36). Paris : INRP</w:t>
      </w:r>
      <w:r w:rsidRPr="006F72FB">
        <w:rPr>
          <w:rFonts w:cs="Times New Roman"/>
        </w:rPr>
        <w:t>.</w:t>
      </w:r>
    </w:p>
    <w:p w14:paraId="2EEDC5AD" w14:textId="06E1BF6B" w:rsidR="00C83C78" w:rsidRPr="00C83C78" w:rsidRDefault="00C83C78" w:rsidP="00C83C78">
      <w:pPr>
        <w:spacing w:after="60"/>
        <w:rPr>
          <w:rFonts w:ascii="Times New Roman" w:hAnsi="Times New Roman" w:cs="Times New Roman"/>
        </w:rPr>
      </w:pPr>
      <w:r w:rsidRPr="00C83C78">
        <w:rPr>
          <w:rFonts w:ascii="Times New Roman" w:hAnsi="Times New Roman" w:cs="Times New Roman"/>
        </w:rPr>
        <w:t xml:space="preserve">CNESO (2016). </w:t>
      </w:r>
      <w:r w:rsidRPr="006F72FB">
        <w:rPr>
          <w:rFonts w:cs="Times New Roman"/>
        </w:rPr>
        <w:t xml:space="preserve">Rapport scientifique. Comparaison des évaluations PISA et TIMSS. </w:t>
      </w:r>
      <w:r w:rsidRPr="006F72FB">
        <w:rPr>
          <w:rFonts w:cs="Times New Roman"/>
          <w:i/>
        </w:rPr>
        <w:t>Acquis des élèves : comprendre les évaluations internationales</w:t>
      </w:r>
      <w:r w:rsidR="002436C2" w:rsidRPr="006F72FB">
        <w:rPr>
          <w:rFonts w:cs="Times New Roman"/>
          <w:i/>
        </w:rPr>
        <w:t xml:space="preserve"> Volume 2</w:t>
      </w:r>
      <w:r w:rsidRPr="006F72FB">
        <w:rPr>
          <w:rFonts w:cs="Times New Roman"/>
        </w:rPr>
        <w:t>.</w:t>
      </w:r>
      <w:r w:rsidRPr="00C83C78">
        <w:rPr>
          <w:rFonts w:ascii="Times New Roman" w:hAnsi="Times New Roman" w:cs="Times New Roman"/>
        </w:rPr>
        <w:t xml:space="preserve"> </w:t>
      </w:r>
    </w:p>
    <w:p w14:paraId="72C55536" w14:textId="07AA6A0A" w:rsidR="00C83C78" w:rsidRPr="006F72FB" w:rsidRDefault="00C83C78" w:rsidP="00C83C78">
      <w:pPr>
        <w:spacing w:after="60"/>
        <w:rPr>
          <w:rFonts w:cs="Times New Roman"/>
        </w:rPr>
      </w:pPr>
      <w:proofErr w:type="spellStart"/>
      <w:r w:rsidRPr="002436C2">
        <w:rPr>
          <w:rStyle w:val="biblionom"/>
        </w:rPr>
        <w:t>Grugeon-Allys</w:t>
      </w:r>
      <w:proofErr w:type="spellEnd"/>
      <w:r w:rsidRPr="002436C2">
        <w:rPr>
          <w:rStyle w:val="biblionom"/>
        </w:rPr>
        <w:t>, B. (2016).</w:t>
      </w:r>
      <w:r w:rsidRPr="00C83C78">
        <w:rPr>
          <w:rFonts w:ascii="Times New Roman" w:hAnsi="Times New Roman" w:cs="Times New Roman"/>
        </w:rPr>
        <w:t xml:space="preserve"> </w:t>
      </w:r>
      <w:r w:rsidRPr="006F72FB">
        <w:rPr>
          <w:rFonts w:cs="Times New Roman"/>
          <w:bCs/>
        </w:rPr>
        <w:t>Évaluer en mathématiques : une approche didactique et épistémologique,</w:t>
      </w:r>
      <w:r w:rsidRPr="006F72FB">
        <w:rPr>
          <w:rFonts w:cs="Times New Roman"/>
        </w:rPr>
        <w:t xml:space="preserve"> In P. </w:t>
      </w:r>
      <w:proofErr w:type="spellStart"/>
      <w:r w:rsidRPr="006F72FB">
        <w:rPr>
          <w:rFonts w:cs="Times New Roman"/>
        </w:rPr>
        <w:t>Detroz</w:t>
      </w:r>
      <w:proofErr w:type="spellEnd"/>
      <w:r w:rsidRPr="006F72FB">
        <w:rPr>
          <w:rFonts w:cs="Times New Roman"/>
        </w:rPr>
        <w:t xml:space="preserve">, M. </w:t>
      </w:r>
      <w:proofErr w:type="spellStart"/>
      <w:r w:rsidRPr="006F72FB">
        <w:rPr>
          <w:rFonts w:cs="Times New Roman"/>
        </w:rPr>
        <w:t>Crahay</w:t>
      </w:r>
      <w:proofErr w:type="spellEnd"/>
      <w:r w:rsidRPr="006F72FB">
        <w:rPr>
          <w:rFonts w:cs="Times New Roman"/>
        </w:rPr>
        <w:t xml:space="preserve">, A. </w:t>
      </w:r>
      <w:proofErr w:type="spellStart"/>
      <w:r w:rsidRPr="006F72FB">
        <w:rPr>
          <w:rFonts w:cs="Times New Roman"/>
        </w:rPr>
        <w:t>Fagnant</w:t>
      </w:r>
      <w:proofErr w:type="spellEnd"/>
      <w:r w:rsidRPr="006F72FB">
        <w:rPr>
          <w:rFonts w:cs="Times New Roman"/>
        </w:rPr>
        <w:t xml:space="preserve"> (</w:t>
      </w:r>
      <w:proofErr w:type="spellStart"/>
      <w:r w:rsidRPr="006F72FB">
        <w:rPr>
          <w:rFonts w:cs="Times New Roman"/>
        </w:rPr>
        <w:t>Eds</w:t>
      </w:r>
      <w:proofErr w:type="spellEnd"/>
      <w:r w:rsidRPr="006F72FB">
        <w:rPr>
          <w:rFonts w:cs="Times New Roman"/>
        </w:rPr>
        <w:t xml:space="preserve">), </w:t>
      </w:r>
      <w:r w:rsidRPr="006F72FB">
        <w:rPr>
          <w:rFonts w:cs="Times New Roman"/>
          <w:i/>
        </w:rPr>
        <w:t>L’évaluation à la lumière des contextes et des disciplines</w:t>
      </w:r>
      <w:r w:rsidR="002436C2" w:rsidRPr="006F72FB">
        <w:rPr>
          <w:rFonts w:cs="Times New Roman"/>
          <w:i/>
        </w:rPr>
        <w:t xml:space="preserve"> </w:t>
      </w:r>
      <w:r w:rsidR="002436C2" w:rsidRPr="006F72FB">
        <w:rPr>
          <w:rFonts w:cs="Times New Roman"/>
        </w:rPr>
        <w:t xml:space="preserve">(pp. </w:t>
      </w:r>
      <w:r w:rsidR="002436C2" w:rsidRPr="006F72FB">
        <w:rPr>
          <w:rFonts w:cs="Times New Roman"/>
          <w:bCs/>
        </w:rPr>
        <w:t>63-90)</w:t>
      </w:r>
      <w:r w:rsidRPr="006F72FB">
        <w:rPr>
          <w:rFonts w:cs="Times New Roman"/>
        </w:rPr>
        <w:t xml:space="preserve">. De Boeck. </w:t>
      </w:r>
    </w:p>
    <w:p w14:paraId="1762F0E1" w14:textId="79039904" w:rsidR="00C83C78" w:rsidRPr="006F72FB" w:rsidRDefault="002436C2" w:rsidP="00C83C78">
      <w:pPr>
        <w:spacing w:after="60"/>
        <w:rPr>
          <w:rFonts w:eastAsia="Times New Roman" w:cs="Times New Roman"/>
        </w:rPr>
      </w:pPr>
      <w:proofErr w:type="spellStart"/>
      <w:r w:rsidRPr="002436C2">
        <w:rPr>
          <w:rStyle w:val="biblionom"/>
        </w:rPr>
        <w:t>Grugeon-Allys</w:t>
      </w:r>
      <w:proofErr w:type="spellEnd"/>
      <w:r w:rsidRPr="002436C2">
        <w:rPr>
          <w:rStyle w:val="biblionom"/>
        </w:rPr>
        <w:t>, B. &amp;</w:t>
      </w:r>
      <w:r w:rsidR="00C83C78" w:rsidRPr="002436C2">
        <w:rPr>
          <w:rStyle w:val="biblionom"/>
        </w:rPr>
        <w:t xml:space="preserve"> </w:t>
      </w:r>
      <w:proofErr w:type="spellStart"/>
      <w:r w:rsidR="00C83C78" w:rsidRPr="002436C2">
        <w:rPr>
          <w:rStyle w:val="biblionom"/>
        </w:rPr>
        <w:t>Grapin</w:t>
      </w:r>
      <w:proofErr w:type="spellEnd"/>
      <w:r w:rsidR="00C83C78" w:rsidRPr="002436C2">
        <w:rPr>
          <w:rStyle w:val="biblionom"/>
        </w:rPr>
        <w:t>, N. (2015).</w:t>
      </w:r>
      <w:r w:rsidR="00C83C78" w:rsidRPr="00C83C78">
        <w:rPr>
          <w:rFonts w:ascii="Times New Roman" w:eastAsia="Times New Roman" w:hAnsi="Times New Roman" w:cs="Times New Roman"/>
        </w:rPr>
        <w:t xml:space="preserve"> </w:t>
      </w:r>
      <w:r w:rsidR="00C83C78" w:rsidRPr="006F72FB">
        <w:rPr>
          <w:rFonts w:eastAsia="Times New Roman" w:cs="Times New Roman"/>
        </w:rPr>
        <w:t>Validité d’une évaluation externe : complémentarité entre une approche didactique et psychométrique. </w:t>
      </w:r>
      <w:r w:rsidRPr="006F72FB">
        <w:rPr>
          <w:rFonts w:eastAsia="Times New Roman" w:cs="Times New Roman"/>
        </w:rPr>
        <w:t>In A.C. Mathé &amp; E. Mounier (</w:t>
      </w:r>
      <w:proofErr w:type="spellStart"/>
      <w:r w:rsidRPr="006F72FB">
        <w:rPr>
          <w:rFonts w:eastAsia="Times New Roman" w:cs="Times New Roman"/>
        </w:rPr>
        <w:t>Eds</w:t>
      </w:r>
      <w:proofErr w:type="spellEnd"/>
      <w:r w:rsidRPr="006F72FB">
        <w:rPr>
          <w:rFonts w:eastAsia="Times New Roman" w:cs="Times New Roman"/>
        </w:rPr>
        <w:t>)</w:t>
      </w:r>
      <w:r w:rsidRPr="006F72FB">
        <w:rPr>
          <w:rStyle w:val="Accentuation"/>
          <w:rFonts w:eastAsia="Times New Roman" w:cs="Times New Roman"/>
        </w:rPr>
        <w:t xml:space="preserve"> </w:t>
      </w:r>
      <w:r w:rsidR="00C83C78" w:rsidRPr="006F72FB">
        <w:rPr>
          <w:rStyle w:val="Accentuation"/>
          <w:rFonts w:eastAsia="Times New Roman" w:cs="Times New Roman"/>
        </w:rPr>
        <w:t>Actes du séminaire national de didactique des mathématiques</w:t>
      </w:r>
      <w:r w:rsidRPr="006F72FB">
        <w:rPr>
          <w:rStyle w:val="Accentuation"/>
          <w:rFonts w:eastAsia="Times New Roman" w:cs="Times New Roman"/>
        </w:rPr>
        <w:t xml:space="preserve"> </w:t>
      </w:r>
      <w:r w:rsidRPr="006F72FB">
        <w:rPr>
          <w:rStyle w:val="Accentuation"/>
          <w:rFonts w:eastAsia="Times New Roman" w:cs="Times New Roman"/>
          <w:i w:val="0"/>
        </w:rPr>
        <w:t>(pp. 15-26)</w:t>
      </w:r>
      <w:r w:rsidR="00C83C78" w:rsidRPr="006F72FB">
        <w:rPr>
          <w:rStyle w:val="Accentuation"/>
          <w:rFonts w:eastAsia="Times New Roman" w:cs="Times New Roman"/>
          <w:i w:val="0"/>
        </w:rPr>
        <w:t>.</w:t>
      </w:r>
      <w:r w:rsidR="00C83C78" w:rsidRPr="006F72FB">
        <w:rPr>
          <w:rFonts w:eastAsia="Times New Roman" w:cs="Times New Roman"/>
        </w:rPr>
        <w:t xml:space="preserve"> </w:t>
      </w:r>
      <w:r w:rsidRPr="006F72FB">
        <w:rPr>
          <w:rFonts w:eastAsia="Times New Roman" w:cs="Times New Roman"/>
        </w:rPr>
        <w:t>IREM de Paris 7</w:t>
      </w:r>
      <w:r w:rsidR="006F72FB">
        <w:rPr>
          <w:rFonts w:eastAsia="Times New Roman" w:cs="Times New Roman"/>
        </w:rPr>
        <w:t>.</w:t>
      </w:r>
    </w:p>
    <w:p w14:paraId="49BFAFBE" w14:textId="2456919F" w:rsidR="00C83C78" w:rsidRPr="00C83C78" w:rsidRDefault="00C83C78" w:rsidP="00C83C78">
      <w:pPr>
        <w:spacing w:after="60"/>
        <w:rPr>
          <w:rFonts w:ascii="Times New Roman" w:hAnsi="Times New Roman" w:cs="Times New Roman"/>
          <w:i/>
        </w:rPr>
      </w:pPr>
      <w:r w:rsidRPr="002436C2">
        <w:rPr>
          <w:rStyle w:val="biblionom"/>
        </w:rPr>
        <w:t xml:space="preserve">De </w:t>
      </w:r>
      <w:proofErr w:type="spellStart"/>
      <w:r w:rsidRPr="002436C2">
        <w:rPr>
          <w:rStyle w:val="biblionom"/>
        </w:rPr>
        <w:t>Ketele</w:t>
      </w:r>
      <w:proofErr w:type="spellEnd"/>
      <w:r w:rsidRPr="002436C2">
        <w:rPr>
          <w:rStyle w:val="biblionom"/>
        </w:rPr>
        <w:t>, J.M. (2016)</w:t>
      </w:r>
      <w:r w:rsidR="002436C2" w:rsidRPr="002436C2">
        <w:rPr>
          <w:rStyle w:val="biblionom"/>
        </w:rPr>
        <w:t>.</w:t>
      </w:r>
      <w:r w:rsidRPr="00C83C78">
        <w:rPr>
          <w:rFonts w:ascii="Times New Roman" w:hAnsi="Times New Roman" w:cs="Times New Roman"/>
        </w:rPr>
        <w:t xml:space="preserve"> </w:t>
      </w:r>
      <w:r w:rsidRPr="006F72FB">
        <w:rPr>
          <w:rFonts w:cs="Times New Roman"/>
        </w:rPr>
        <w:t xml:space="preserve">L'évaluation et ses nouvelles tendances sources de dilemmes. </w:t>
      </w:r>
      <w:r w:rsidR="002436C2" w:rsidRPr="006F72FB">
        <w:rPr>
          <w:rFonts w:cs="Times New Roman"/>
          <w:i/>
        </w:rPr>
        <w:t>Education permanente</w:t>
      </w:r>
      <w:r w:rsidRPr="006F72FB">
        <w:rPr>
          <w:rFonts w:cs="Times New Roman"/>
          <w:i/>
        </w:rPr>
        <w:t xml:space="preserve"> 208.</w:t>
      </w:r>
      <w:r w:rsidRPr="00C83C78">
        <w:rPr>
          <w:rFonts w:ascii="Times New Roman" w:hAnsi="Times New Roman" w:cs="Times New Roman"/>
          <w:i/>
        </w:rPr>
        <w:t xml:space="preserve"> </w:t>
      </w:r>
    </w:p>
    <w:p w14:paraId="59C5FB37" w14:textId="77777777" w:rsidR="00C83C78" w:rsidRPr="00C83C78" w:rsidRDefault="00C83C78" w:rsidP="00C83C78">
      <w:pPr>
        <w:spacing w:after="60"/>
        <w:rPr>
          <w:rFonts w:ascii="Times New Roman" w:hAnsi="Times New Roman" w:cs="Times New Roman"/>
        </w:rPr>
      </w:pPr>
      <w:proofErr w:type="spellStart"/>
      <w:r w:rsidRPr="002436C2">
        <w:rPr>
          <w:rStyle w:val="biblionom"/>
        </w:rPr>
        <w:t>Mottier</w:t>
      </w:r>
      <w:proofErr w:type="spellEnd"/>
      <w:r w:rsidRPr="002436C2">
        <w:rPr>
          <w:rStyle w:val="biblionom"/>
        </w:rPr>
        <w:t>-Lopez, L. (2012).</w:t>
      </w:r>
      <w:r w:rsidRPr="00C83C78">
        <w:rPr>
          <w:rFonts w:ascii="Times New Roman" w:hAnsi="Times New Roman" w:cs="Times New Roman"/>
        </w:rPr>
        <w:t xml:space="preserve"> </w:t>
      </w:r>
      <w:r w:rsidRPr="006F72FB">
        <w:rPr>
          <w:rFonts w:cs="Times New Roman"/>
          <w:i/>
        </w:rPr>
        <w:t>La régulation des apprentissages en classe</w:t>
      </w:r>
      <w:r w:rsidRPr="006F72FB">
        <w:rPr>
          <w:rFonts w:cs="Times New Roman"/>
        </w:rPr>
        <w:t>. Bruxelles : De Boeck.</w:t>
      </w:r>
    </w:p>
    <w:p w14:paraId="1B435C1A" w14:textId="77777777" w:rsidR="00C83C78" w:rsidRPr="002436C2" w:rsidRDefault="00C83C78" w:rsidP="002436C2">
      <w:proofErr w:type="spellStart"/>
      <w:r w:rsidRPr="002436C2">
        <w:rPr>
          <w:rStyle w:val="biblionom"/>
        </w:rPr>
        <w:t>Roditi</w:t>
      </w:r>
      <w:proofErr w:type="spellEnd"/>
      <w:r w:rsidRPr="002436C2">
        <w:rPr>
          <w:rStyle w:val="biblionom"/>
        </w:rPr>
        <w:t>, E. &amp; Salles, F. (2015).</w:t>
      </w:r>
      <w:r w:rsidRPr="002436C2">
        <w:t xml:space="preserve"> </w:t>
      </w:r>
      <w:r w:rsidRPr="006F72FB">
        <w:rPr>
          <w:rStyle w:val="BiblioCar"/>
          <w:rFonts w:asciiTheme="minorHAnsi" w:hAnsiTheme="minorHAnsi"/>
        </w:rPr>
        <w:t>Nouvelles analyses de l’enquête PISA 2012 en mathématiques. Éducation et formations, 86-87, 236-267.</w:t>
      </w:r>
    </w:p>
    <w:p w14:paraId="281D4EB0" w14:textId="77777777" w:rsidR="002436C2" w:rsidRPr="006F72FB" w:rsidRDefault="00C83C78" w:rsidP="00C83C78">
      <w:pPr>
        <w:spacing w:after="60"/>
        <w:rPr>
          <w:rFonts w:cs="Times New Roman"/>
        </w:rPr>
      </w:pPr>
      <w:proofErr w:type="spellStart"/>
      <w:r w:rsidRPr="002436C2">
        <w:rPr>
          <w:rStyle w:val="biblionom"/>
        </w:rPr>
        <w:t>Sayac</w:t>
      </w:r>
      <w:proofErr w:type="spellEnd"/>
      <w:r w:rsidRPr="002436C2">
        <w:rPr>
          <w:rStyle w:val="biblionom"/>
        </w:rPr>
        <w:t xml:space="preserve"> N. &amp; </w:t>
      </w:r>
      <w:proofErr w:type="spellStart"/>
      <w:r w:rsidRPr="002436C2">
        <w:rPr>
          <w:rStyle w:val="biblionom"/>
        </w:rPr>
        <w:t>Grapin</w:t>
      </w:r>
      <w:proofErr w:type="spellEnd"/>
      <w:r w:rsidRPr="002436C2">
        <w:rPr>
          <w:rStyle w:val="biblionom"/>
        </w:rPr>
        <w:t xml:space="preserve"> N. (2015).</w:t>
      </w:r>
      <w:r w:rsidRPr="00C83C78">
        <w:rPr>
          <w:rFonts w:ascii="Times New Roman" w:hAnsi="Times New Roman" w:cs="Times New Roman"/>
        </w:rPr>
        <w:t xml:space="preserve"> </w:t>
      </w:r>
      <w:bookmarkStart w:id="0" w:name="_GoBack"/>
      <w:r w:rsidRPr="006F72FB">
        <w:rPr>
          <w:rFonts w:cs="Times New Roman"/>
        </w:rPr>
        <w:t xml:space="preserve">Analyse didactique d’une évaluation externe en mathématiques : quels outils pour quels enjeux ? </w:t>
      </w:r>
      <w:r w:rsidRPr="006F72FB">
        <w:rPr>
          <w:rFonts w:cs="Times New Roman"/>
          <w:i/>
        </w:rPr>
        <w:t>Recherches en didactique des mathématiques</w:t>
      </w:r>
      <w:r w:rsidRPr="006F72FB">
        <w:rPr>
          <w:rFonts w:cs="Times New Roman"/>
        </w:rPr>
        <w:t xml:space="preserve">, </w:t>
      </w:r>
      <w:r w:rsidRPr="006F72FB">
        <w:rPr>
          <w:rFonts w:cs="Times New Roman"/>
          <w:i/>
        </w:rPr>
        <w:t>35</w:t>
      </w:r>
      <w:r w:rsidRPr="006F72FB">
        <w:rPr>
          <w:rFonts w:cs="Times New Roman"/>
        </w:rPr>
        <w:t>(1</w:t>
      </w:r>
      <w:proofErr w:type="gramStart"/>
      <w:r w:rsidRPr="006F72FB">
        <w:rPr>
          <w:rFonts w:cs="Times New Roman"/>
        </w:rPr>
        <w:t>),</w:t>
      </w:r>
      <w:proofErr w:type="gramEnd"/>
      <w:r w:rsidRPr="006F72FB">
        <w:rPr>
          <w:rFonts w:cs="Times New Roman"/>
        </w:rPr>
        <w:t>101-126.</w:t>
      </w:r>
    </w:p>
    <w:bookmarkEnd w:id="0"/>
    <w:p w14:paraId="6ABB643B" w14:textId="1DEE9D2D" w:rsidR="004E1F41" w:rsidRPr="00C83C78" w:rsidRDefault="004E1F41" w:rsidP="00C83C78">
      <w:pPr>
        <w:spacing w:after="60"/>
        <w:rPr>
          <w:rFonts w:ascii="Times New Roman" w:hAnsi="Times New Roman" w:cs="Times New Roman"/>
        </w:rPr>
      </w:pPr>
    </w:p>
    <w:sectPr w:rsidR="004E1F41" w:rsidRPr="00C83C78" w:rsidSect="003D2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41"/>
    <w:rsid w:val="002436C2"/>
    <w:rsid w:val="00256270"/>
    <w:rsid w:val="003D2ED7"/>
    <w:rsid w:val="004E1F41"/>
    <w:rsid w:val="00511031"/>
    <w:rsid w:val="006F72FB"/>
    <w:rsid w:val="007252D8"/>
    <w:rsid w:val="00782079"/>
    <w:rsid w:val="008A6BE0"/>
    <w:rsid w:val="00BB154B"/>
    <w:rsid w:val="00C8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EA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41"/>
    <w:pPr>
      <w:jc w:val="both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1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4E1F41"/>
    <w:pPr>
      <w:keepLines w:val="0"/>
      <w:spacing w:before="320" w:after="120" w:line="240" w:lineRule="exact"/>
      <w:jc w:val="left"/>
      <w:outlineLvl w:val="2"/>
    </w:pPr>
    <w:rPr>
      <w:rFonts w:ascii="Times New Roman" w:eastAsia="Times New Roman" w:hAnsi="Times New Roman" w:cs="Arial"/>
      <w:b w:val="0"/>
      <w:bCs w:val="0"/>
      <w:i/>
      <w:iCs/>
      <w:color w:val="auto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E1F41"/>
    <w:rPr>
      <w:rFonts w:ascii="Times New Roman" w:eastAsia="Times New Roman" w:hAnsi="Times New Roman" w:cs="Arial"/>
      <w:i/>
      <w:iCs/>
      <w:szCs w:val="26"/>
    </w:rPr>
  </w:style>
  <w:style w:type="paragraph" w:customStyle="1" w:styleId="titre">
    <w:name w:val="titre"/>
    <w:basedOn w:val="Normal"/>
    <w:qFormat/>
    <w:rsid w:val="004E1F41"/>
    <w:pPr>
      <w:spacing w:after="120" w:line="360" w:lineRule="auto"/>
      <w:jc w:val="center"/>
    </w:pPr>
    <w:rPr>
      <w:b/>
      <w:bCs/>
      <w:caps/>
    </w:rPr>
  </w:style>
  <w:style w:type="paragraph" w:customStyle="1" w:styleId="auteurs">
    <w:name w:val="auteurs"/>
    <w:basedOn w:val="Normal"/>
    <w:qFormat/>
    <w:rsid w:val="00511031"/>
    <w:pPr>
      <w:spacing w:after="240"/>
      <w:jc w:val="center"/>
    </w:pPr>
  </w:style>
  <w:style w:type="paragraph" w:customStyle="1" w:styleId="soustitres">
    <w:name w:val="sous titres"/>
    <w:basedOn w:val="Normal"/>
    <w:next w:val="titre"/>
    <w:rsid w:val="004E1F41"/>
    <w:pPr>
      <w:spacing w:before="500" w:after="200" w:line="210" w:lineRule="exact"/>
      <w:jc w:val="left"/>
    </w:pPr>
    <w:rPr>
      <w:rFonts w:ascii="Times New Roman" w:eastAsia="Times New Roman" w:hAnsi="Times New Roman" w:cs="Times New Roman"/>
      <w:b/>
      <w:caps/>
      <w:color w:val="000000"/>
    </w:rPr>
  </w:style>
  <w:style w:type="character" w:customStyle="1" w:styleId="biblionom">
    <w:name w:val="biblio nom"/>
    <w:rsid w:val="004E1F41"/>
    <w:rPr>
      <w:smallCaps/>
    </w:rPr>
  </w:style>
  <w:style w:type="character" w:customStyle="1" w:styleId="Titre2Car">
    <w:name w:val="Titre 2 Car"/>
    <w:basedOn w:val="Policepardfaut"/>
    <w:link w:val="Titre2"/>
    <w:uiPriority w:val="9"/>
    <w:semiHidden/>
    <w:rsid w:val="004E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079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079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st">
    <w:name w:val="st"/>
    <w:basedOn w:val="Policepardfaut"/>
    <w:rsid w:val="00782079"/>
  </w:style>
  <w:style w:type="character" w:styleId="Accentuation">
    <w:name w:val="Emphasis"/>
    <w:basedOn w:val="Policepardfaut"/>
    <w:uiPriority w:val="20"/>
    <w:qFormat/>
    <w:rsid w:val="00782079"/>
    <w:rPr>
      <w:i/>
      <w:iCs/>
    </w:rPr>
  </w:style>
  <w:style w:type="paragraph" w:customStyle="1" w:styleId="Biblio">
    <w:name w:val="Biblio"/>
    <w:basedOn w:val="Normal"/>
    <w:link w:val="BiblioCar"/>
    <w:qFormat/>
    <w:rsid w:val="00C83C78"/>
    <w:pPr>
      <w:ind w:left="284" w:hanging="284"/>
    </w:pPr>
    <w:rPr>
      <w:rFonts w:ascii="Times New Roman" w:eastAsia="Cambria" w:hAnsi="Times New Roman" w:cs="Times New Roman"/>
      <w:lang w:val="fr-CH" w:eastAsia="en-US"/>
    </w:rPr>
  </w:style>
  <w:style w:type="character" w:customStyle="1" w:styleId="BiblioCar">
    <w:name w:val="Biblio Car"/>
    <w:link w:val="Biblio"/>
    <w:rsid w:val="00C83C78"/>
    <w:rPr>
      <w:rFonts w:ascii="Times New Roman" w:eastAsia="Cambria" w:hAnsi="Times New Roman" w:cs="Times New Roman"/>
      <w:lang w:val="fr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41"/>
    <w:pPr>
      <w:jc w:val="both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1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4E1F41"/>
    <w:pPr>
      <w:keepLines w:val="0"/>
      <w:spacing w:before="320" w:after="120" w:line="240" w:lineRule="exact"/>
      <w:jc w:val="left"/>
      <w:outlineLvl w:val="2"/>
    </w:pPr>
    <w:rPr>
      <w:rFonts w:ascii="Times New Roman" w:eastAsia="Times New Roman" w:hAnsi="Times New Roman" w:cs="Arial"/>
      <w:b w:val="0"/>
      <w:bCs w:val="0"/>
      <w:i/>
      <w:iCs/>
      <w:color w:val="auto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E1F41"/>
    <w:rPr>
      <w:rFonts w:ascii="Times New Roman" w:eastAsia="Times New Roman" w:hAnsi="Times New Roman" w:cs="Arial"/>
      <w:i/>
      <w:iCs/>
      <w:szCs w:val="26"/>
    </w:rPr>
  </w:style>
  <w:style w:type="paragraph" w:customStyle="1" w:styleId="titre">
    <w:name w:val="titre"/>
    <w:basedOn w:val="Normal"/>
    <w:qFormat/>
    <w:rsid w:val="004E1F41"/>
    <w:pPr>
      <w:spacing w:after="120" w:line="360" w:lineRule="auto"/>
      <w:jc w:val="center"/>
    </w:pPr>
    <w:rPr>
      <w:b/>
      <w:bCs/>
      <w:caps/>
    </w:rPr>
  </w:style>
  <w:style w:type="paragraph" w:customStyle="1" w:styleId="auteurs">
    <w:name w:val="auteurs"/>
    <w:basedOn w:val="Normal"/>
    <w:qFormat/>
    <w:rsid w:val="00511031"/>
    <w:pPr>
      <w:spacing w:after="240"/>
      <w:jc w:val="center"/>
    </w:pPr>
  </w:style>
  <w:style w:type="paragraph" w:customStyle="1" w:styleId="soustitres">
    <w:name w:val="sous titres"/>
    <w:basedOn w:val="Normal"/>
    <w:next w:val="titre"/>
    <w:rsid w:val="004E1F41"/>
    <w:pPr>
      <w:spacing w:before="500" w:after="200" w:line="210" w:lineRule="exact"/>
      <w:jc w:val="left"/>
    </w:pPr>
    <w:rPr>
      <w:rFonts w:ascii="Times New Roman" w:eastAsia="Times New Roman" w:hAnsi="Times New Roman" w:cs="Times New Roman"/>
      <w:b/>
      <w:caps/>
      <w:color w:val="000000"/>
    </w:rPr>
  </w:style>
  <w:style w:type="character" w:customStyle="1" w:styleId="biblionom">
    <w:name w:val="biblio nom"/>
    <w:rsid w:val="004E1F41"/>
    <w:rPr>
      <w:smallCaps/>
    </w:rPr>
  </w:style>
  <w:style w:type="character" w:customStyle="1" w:styleId="Titre2Car">
    <w:name w:val="Titre 2 Car"/>
    <w:basedOn w:val="Policepardfaut"/>
    <w:link w:val="Titre2"/>
    <w:uiPriority w:val="9"/>
    <w:semiHidden/>
    <w:rsid w:val="004E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079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079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st">
    <w:name w:val="st"/>
    <w:basedOn w:val="Policepardfaut"/>
    <w:rsid w:val="00782079"/>
  </w:style>
  <w:style w:type="character" w:styleId="Accentuation">
    <w:name w:val="Emphasis"/>
    <w:basedOn w:val="Policepardfaut"/>
    <w:uiPriority w:val="20"/>
    <w:qFormat/>
    <w:rsid w:val="00782079"/>
    <w:rPr>
      <w:i/>
      <w:iCs/>
    </w:rPr>
  </w:style>
  <w:style w:type="paragraph" w:customStyle="1" w:styleId="Biblio">
    <w:name w:val="Biblio"/>
    <w:basedOn w:val="Normal"/>
    <w:link w:val="BiblioCar"/>
    <w:qFormat/>
    <w:rsid w:val="00C83C78"/>
    <w:pPr>
      <w:ind w:left="284" w:hanging="284"/>
    </w:pPr>
    <w:rPr>
      <w:rFonts w:ascii="Times New Roman" w:eastAsia="Cambria" w:hAnsi="Times New Roman" w:cs="Times New Roman"/>
      <w:lang w:val="fr-CH" w:eastAsia="en-US"/>
    </w:rPr>
  </w:style>
  <w:style w:type="character" w:customStyle="1" w:styleId="BiblioCar">
    <w:name w:val="Biblio Car"/>
    <w:link w:val="Biblio"/>
    <w:rsid w:val="00C83C78"/>
    <w:rPr>
      <w:rFonts w:ascii="Times New Roman" w:eastAsia="Cambria" w:hAnsi="Times New Roman" w:cs="Times New Roman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681</Words>
  <Characters>3750</Characters>
  <Application>Microsoft Macintosh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COPPE</dc:creator>
  <cp:keywords/>
  <dc:description/>
  <cp:lastModifiedBy>Sylvie COPPE</cp:lastModifiedBy>
  <cp:revision>6</cp:revision>
  <dcterms:created xsi:type="dcterms:W3CDTF">2017-03-08T17:35:00Z</dcterms:created>
  <dcterms:modified xsi:type="dcterms:W3CDTF">2017-03-20T15:02:00Z</dcterms:modified>
</cp:coreProperties>
</file>